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252D" w:rsidRPr="000B5BCA" w:rsidRDefault="00EA70D1" w:rsidP="0071252D">
      <w:pPr>
        <w:tabs>
          <w:tab w:val="left" w:pos="567"/>
          <w:tab w:val="left" w:pos="1701"/>
        </w:tabs>
        <w:spacing w:after="0" w:line="240" w:lineRule="auto"/>
        <w:rPr>
          <w:rFonts w:ascii="Arial" w:hAnsi="Arial" w:cs="Arial"/>
          <w:b/>
          <w:sz w:val="32"/>
        </w:rPr>
      </w:pPr>
      <w:bookmarkStart w:id="0" w:name="_GoBack"/>
      <w:bookmarkEnd w:id="0"/>
      <w:r>
        <w:rPr>
          <w:rFonts w:ascii="Arial" w:hAnsi="Arial" w:cs="Arial"/>
          <w:b/>
          <w:sz w:val="32"/>
        </w:rPr>
        <w:t>Additional file</w:t>
      </w:r>
      <w:r w:rsidR="0071252D">
        <w:rPr>
          <w:rFonts w:ascii="Arial" w:hAnsi="Arial" w:cs="Arial"/>
          <w:b/>
          <w:sz w:val="32"/>
        </w:rPr>
        <w:t xml:space="preserve"> 4</w:t>
      </w:r>
      <w:r w:rsidR="0071252D" w:rsidRPr="000B5BCA">
        <w:rPr>
          <w:rFonts w:ascii="Arial" w:hAnsi="Arial" w:cs="Arial"/>
          <w:b/>
          <w:sz w:val="32"/>
        </w:rPr>
        <w:t>: Additional results</w:t>
      </w:r>
      <w:r w:rsidR="0071252D">
        <w:rPr>
          <w:rFonts w:ascii="Arial" w:hAnsi="Arial" w:cs="Arial"/>
          <w:b/>
          <w:sz w:val="32"/>
        </w:rPr>
        <w:t xml:space="preserve"> of the simulation study</w:t>
      </w:r>
    </w:p>
    <w:p w:rsidR="0071252D" w:rsidRDefault="0071252D" w:rsidP="0071252D">
      <w:pPr>
        <w:tabs>
          <w:tab w:val="left" w:pos="567"/>
          <w:tab w:val="left" w:pos="1701"/>
        </w:tabs>
        <w:spacing w:after="0" w:line="240" w:lineRule="auto"/>
        <w:rPr>
          <w:rFonts w:ascii="Arial" w:hAnsi="Arial" w:cs="Arial"/>
        </w:rPr>
      </w:pPr>
    </w:p>
    <w:p w:rsidR="0071252D" w:rsidRDefault="0071252D" w:rsidP="0071252D">
      <w:pPr>
        <w:spacing w:after="0" w:line="240" w:lineRule="auto"/>
        <w:rPr>
          <w:rFonts w:ascii="Arial" w:eastAsia="Times New Roman" w:hAnsi="Arial" w:cs="Arial"/>
          <w:sz w:val="20"/>
          <w:lang w:val="en-US"/>
        </w:rPr>
      </w:pPr>
      <w:r>
        <w:rPr>
          <w:rFonts w:ascii="Arial" w:eastAsia="Times New Roman" w:hAnsi="Arial" w:cs="Arial"/>
          <w:b/>
          <w:sz w:val="20"/>
          <w:lang w:val="en-US"/>
        </w:rPr>
        <w:t xml:space="preserve">Table </w:t>
      </w:r>
      <w:r w:rsidRPr="00F0278E">
        <w:rPr>
          <w:rFonts w:ascii="Arial" w:eastAsia="Times New Roman" w:hAnsi="Arial" w:cs="Arial"/>
          <w:b/>
          <w:sz w:val="20"/>
          <w:lang w:val="en-US"/>
        </w:rPr>
        <w:t xml:space="preserve">4.1 </w:t>
      </w:r>
      <w:r>
        <w:rPr>
          <w:rFonts w:ascii="Arial" w:eastAsia="Times New Roman" w:hAnsi="Arial" w:cs="Arial"/>
          <w:sz w:val="20"/>
          <w:lang w:val="en-US"/>
        </w:rPr>
        <w:t>Variation in the best performing criterion between trials and scenarios</w:t>
      </w: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6"/>
        <w:gridCol w:w="1418"/>
        <w:gridCol w:w="5387"/>
        <w:gridCol w:w="1134"/>
        <w:gridCol w:w="1016"/>
        <w:gridCol w:w="956"/>
        <w:gridCol w:w="1147"/>
      </w:tblGrid>
      <w:tr w:rsidR="0071252D" w:rsidTr="00A12CBE">
        <w:trPr>
          <w:trHeight w:val="20"/>
          <w:tblHeader/>
        </w:trPr>
        <w:tc>
          <w:tcPr>
            <w:tcW w:w="2976" w:type="dxa"/>
            <w:vMerge w:val="restart"/>
            <w:tcBorders>
              <w:top w:val="single" w:sz="12" w:space="0" w:color="auto"/>
              <w:left w:val="single" w:sz="12" w:space="0" w:color="auto"/>
              <w:bottom w:val="single" w:sz="4" w:space="0" w:color="auto"/>
              <w:right w:val="single" w:sz="4" w:space="0" w:color="auto"/>
            </w:tcBorders>
            <w:noWrap/>
            <w:hideMark/>
          </w:tcPr>
          <w:p w:rsidR="0071252D" w:rsidRDefault="0071252D" w:rsidP="00A12CBE">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Study Name</w:t>
            </w:r>
          </w:p>
        </w:tc>
        <w:tc>
          <w:tcPr>
            <w:tcW w:w="1418" w:type="dxa"/>
            <w:vMerge w:val="restart"/>
            <w:tcBorders>
              <w:top w:val="single" w:sz="12" w:space="0" w:color="auto"/>
              <w:left w:val="single" w:sz="4" w:space="0" w:color="auto"/>
              <w:bottom w:val="single" w:sz="4" w:space="0" w:color="auto"/>
              <w:right w:val="single" w:sz="4" w:space="0" w:color="auto"/>
            </w:tcBorders>
            <w:noWrap/>
            <w:hideMark/>
          </w:tcPr>
          <w:p w:rsidR="0071252D" w:rsidRDefault="0071252D" w:rsidP="00A12CBE">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Interaction type for NMB*</w:t>
            </w:r>
          </w:p>
        </w:tc>
        <w:tc>
          <w:tcPr>
            <w:tcW w:w="5387" w:type="dxa"/>
            <w:vMerge w:val="restart"/>
            <w:tcBorders>
              <w:top w:val="single" w:sz="12" w:space="0" w:color="auto"/>
              <w:left w:val="single" w:sz="4" w:space="0" w:color="auto"/>
              <w:bottom w:val="single" w:sz="4" w:space="0" w:color="auto"/>
              <w:right w:val="single" w:sz="4" w:space="0" w:color="auto"/>
            </w:tcBorders>
            <w:noWrap/>
            <w:hideMark/>
          </w:tcPr>
          <w:p w:rsidR="0071252D" w:rsidRDefault="0071252D" w:rsidP="00A12CBE">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Strategies with lowest opportunity cost†</w:t>
            </w:r>
          </w:p>
        </w:tc>
        <w:tc>
          <w:tcPr>
            <w:tcW w:w="4253" w:type="dxa"/>
            <w:gridSpan w:val="4"/>
            <w:tcBorders>
              <w:top w:val="single" w:sz="12" w:space="0" w:color="auto"/>
              <w:left w:val="single" w:sz="4" w:space="0" w:color="auto"/>
              <w:bottom w:val="single" w:sz="2" w:space="0" w:color="auto"/>
              <w:right w:val="single" w:sz="12" w:space="0" w:color="auto"/>
            </w:tcBorders>
            <w:noWrap/>
            <w:hideMark/>
          </w:tcPr>
          <w:p w:rsidR="0071252D" w:rsidRDefault="0071252D" w:rsidP="00A12CBE">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Opportunity cost</w:t>
            </w:r>
          </w:p>
        </w:tc>
      </w:tr>
      <w:tr w:rsidR="0071252D" w:rsidTr="00A12CBE">
        <w:trPr>
          <w:trHeight w:val="20"/>
          <w:tblHeader/>
        </w:trPr>
        <w:tc>
          <w:tcPr>
            <w:tcW w:w="2976" w:type="dxa"/>
            <w:vMerge/>
            <w:tcBorders>
              <w:top w:val="single" w:sz="12" w:space="0" w:color="auto"/>
              <w:left w:val="single" w:sz="12" w:space="0" w:color="auto"/>
              <w:bottom w:val="single" w:sz="4" w:space="0" w:color="auto"/>
              <w:right w:val="single" w:sz="4" w:space="0" w:color="auto"/>
            </w:tcBorders>
            <w:vAlign w:val="center"/>
            <w:hideMark/>
          </w:tcPr>
          <w:p w:rsidR="0071252D" w:rsidRDefault="0071252D" w:rsidP="00A12CBE">
            <w:pPr>
              <w:spacing w:after="0" w:line="240" w:lineRule="auto"/>
              <w:rPr>
                <w:rFonts w:ascii="Arial" w:eastAsia="Times New Roman" w:hAnsi="Arial" w:cs="Arial"/>
                <w:b/>
                <w:bCs/>
                <w:sz w:val="20"/>
                <w:szCs w:val="20"/>
                <w:lang w:eastAsia="en-GB"/>
              </w:rPr>
            </w:pPr>
          </w:p>
        </w:tc>
        <w:tc>
          <w:tcPr>
            <w:tcW w:w="1418" w:type="dxa"/>
            <w:vMerge/>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rPr>
                <w:rFonts w:ascii="Arial" w:eastAsia="Times New Roman" w:hAnsi="Arial" w:cs="Arial"/>
                <w:b/>
                <w:bCs/>
                <w:sz w:val="20"/>
                <w:szCs w:val="20"/>
                <w:lang w:eastAsia="en-GB"/>
              </w:rPr>
            </w:pPr>
          </w:p>
        </w:tc>
        <w:tc>
          <w:tcPr>
            <w:tcW w:w="5387" w:type="dxa"/>
            <w:vMerge/>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rPr>
                <w:rFonts w:ascii="Arial" w:eastAsia="Times New Roman" w:hAnsi="Arial" w:cs="Arial"/>
                <w:b/>
                <w:bCs/>
                <w:sz w:val="20"/>
                <w:szCs w:val="20"/>
                <w:lang w:eastAsia="en-GB"/>
              </w:rPr>
            </w:pPr>
          </w:p>
        </w:tc>
        <w:tc>
          <w:tcPr>
            <w:tcW w:w="1134" w:type="dxa"/>
            <w:tcBorders>
              <w:top w:val="single" w:sz="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Min</w:t>
            </w:r>
            <w:r w:rsidR="00A12CBE">
              <w:rPr>
                <w:rFonts w:ascii="Arial" w:eastAsia="Times New Roman" w:hAnsi="Arial" w:cs="Arial"/>
                <w:b/>
                <w:bCs/>
                <w:color w:val="000000"/>
                <w:sz w:val="20"/>
                <w:szCs w:val="20"/>
                <w:lang w:val="en-US"/>
              </w:rPr>
              <w:t>imum</w:t>
            </w:r>
          </w:p>
        </w:tc>
        <w:tc>
          <w:tcPr>
            <w:tcW w:w="1016" w:type="dxa"/>
            <w:tcBorders>
              <w:top w:val="single" w:sz="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Always include</w:t>
            </w:r>
          </w:p>
        </w:tc>
        <w:tc>
          <w:tcPr>
            <w:tcW w:w="956" w:type="dxa"/>
            <w:tcBorders>
              <w:top w:val="single" w:sz="2" w:space="0" w:color="auto"/>
              <w:left w:val="single" w:sz="4" w:space="0" w:color="auto"/>
              <w:bottom w:val="single" w:sz="4" w:space="0" w:color="auto"/>
              <w:right w:val="single" w:sz="2" w:space="0" w:color="auto"/>
            </w:tcBorders>
            <w:vAlign w:val="center"/>
            <w:hideMark/>
          </w:tcPr>
          <w:p w:rsidR="0071252D" w:rsidRDefault="0071252D" w:rsidP="00A12CBE">
            <w:pPr>
              <w:spacing w:after="0" w:line="240" w:lineRule="auto"/>
              <w:jc w:val="center"/>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Never include</w:t>
            </w:r>
          </w:p>
        </w:tc>
        <w:tc>
          <w:tcPr>
            <w:tcW w:w="1147" w:type="dxa"/>
            <w:tcBorders>
              <w:top w:val="single" w:sz="2" w:space="0" w:color="auto"/>
              <w:left w:val="single" w:sz="2" w:space="0" w:color="auto"/>
              <w:bottom w:val="single" w:sz="4" w:space="0" w:color="auto"/>
              <w:right w:val="single" w:sz="12" w:space="0" w:color="auto"/>
            </w:tcBorders>
            <w:vAlign w:val="center"/>
            <w:hideMark/>
          </w:tcPr>
          <w:p w:rsidR="0071252D" w:rsidRDefault="0071252D" w:rsidP="00A12CBE">
            <w:pPr>
              <w:spacing w:after="0" w:line="240" w:lineRule="auto"/>
              <w:jc w:val="center"/>
              <w:rPr>
                <w:rFonts w:ascii="Arial" w:eastAsia="Times New Roman" w:hAnsi="Arial" w:cs="Arial"/>
                <w:b/>
                <w:bCs/>
                <w:color w:val="000000"/>
                <w:sz w:val="20"/>
                <w:szCs w:val="20"/>
                <w:lang w:val="en-US"/>
              </w:rPr>
            </w:pPr>
            <w:r>
              <w:rPr>
                <w:rFonts w:ascii="Arial" w:eastAsia="Times New Roman" w:hAnsi="Arial" w:cs="Arial"/>
                <w:b/>
                <w:bCs/>
                <w:color w:val="000000"/>
                <w:sz w:val="20"/>
                <w:szCs w:val="20"/>
                <w:lang w:val="en-US"/>
              </w:rPr>
              <w:t>Include if &gt;simple effect</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AFIST</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£857</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£857</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£2,936</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£919</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AFIST_DoubleInt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p&lt;0.05, p&lt;0.10, p&lt;0.25, AIC, </w:t>
            </w:r>
            <w:proofErr w:type="spellStart"/>
            <w:r>
              <w:rPr>
                <w:rFonts w:ascii="Arial" w:eastAsia="Times New Roman" w:hAnsi="Arial" w:cs="Arial"/>
                <w:color w:val="000000"/>
                <w:sz w:val="20"/>
                <w:szCs w:val="20"/>
                <w:lang w:val="en-US"/>
              </w:rPr>
              <w:t>Qual</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QualBigSig</w:t>
            </w:r>
            <w:proofErr w:type="spellEnd"/>
            <w:r>
              <w:rPr>
                <w:rFonts w:ascii="Arial" w:eastAsia="Times New Roman" w:hAnsi="Arial" w:cs="Arial"/>
                <w:color w:val="000000"/>
                <w:sz w:val="20"/>
                <w:szCs w:val="20"/>
                <w:lang w:val="en-US"/>
              </w:rPr>
              <w:t xml:space="preserve">, ≥250, ≥500,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£2,106</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AFIST_HalfInt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£593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£1,453</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£593</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£1,457</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AFIST_DoubleSize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£140</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£140</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£2,900</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£171</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AFIST_NoInt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£1,777</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£1,946</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£1,777</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£1,946</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AFIST_NoInt_DoubleSize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AIC,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£510</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£766</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£514</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£750</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ATEAM</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BIC, ≥500, ≥1000,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£26</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£26</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ATEAM_DoubleInt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pt-PT"/>
              </w:rPr>
            </w:pPr>
            <w:r>
              <w:rPr>
                <w:rFonts w:ascii="Arial" w:eastAsia="Times New Roman" w:hAnsi="Arial" w:cs="Arial"/>
                <w:color w:val="000000"/>
                <w:sz w:val="20"/>
                <w:szCs w:val="20"/>
                <w:lang w:val="pt-PT"/>
              </w:rPr>
              <w:t xml:space="preserve">Qual, QualBig, QualNMB, QualBigNMB, QualBigSig,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£19</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ATEAM_HalfInt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≥500,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£6</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£25</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£6</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£21</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ATEAM_DoubleSize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ALL</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ATEAM_NoInt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£44</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£44</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ATEAM_NoInt_DoubleSize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£11</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Boyle</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£2,403</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£2,466</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£3,427</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£2,466</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Boyle_DoubleInt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w:t>
            </w: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QualBigSig</w:t>
            </w:r>
            <w:proofErr w:type="spellEnd"/>
            <w:r>
              <w:rPr>
                <w:rFonts w:ascii="Arial" w:eastAsia="Times New Roman" w:hAnsi="Arial" w:cs="Arial"/>
                <w:color w:val="000000"/>
                <w:sz w:val="20"/>
                <w:szCs w:val="20"/>
                <w:lang w:val="en-US"/>
              </w:rPr>
              <w:t xml:space="preserve">, ≥250,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£1,796</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£1,796</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£5,802</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£1,796</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Boyle_HalfInt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£1,082</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£1,455</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£1,082</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£1,455</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Boyle_DoubleSize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£1,319</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£1,501</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£3,007</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£1,523</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Boyle_NoInt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£1,397</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£2,031</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£1,397</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£2,044</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Boyle_NoInt_DoubleSize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£840</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£1,388</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£840</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£1,362</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Hollis</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Super</w:t>
            </w:r>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QualBigSig</w:t>
            </w:r>
            <w:proofErr w:type="spellEnd"/>
            <w:r>
              <w:rPr>
                <w:rFonts w:ascii="Arial" w:eastAsia="Times New Roman" w:hAnsi="Arial" w:cs="Arial"/>
                <w:color w:val="000000"/>
                <w:sz w:val="20"/>
                <w:szCs w:val="20"/>
                <w:lang w:val="en-US"/>
              </w:rPr>
              <w:t xml:space="preserve">,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£20</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£22</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Hollis_DoubleInt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LargeSuper</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£15</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Hollis_HalfInt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Super</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£19</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£20</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Hollis_DoubleSize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Super</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£7</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£8</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Hollis_NoInt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£21</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£20</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Hollis_NoInt_DoubleSize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£11</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MTA</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≥250,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£138</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£144</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£372</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£149</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MTA_DoubleInt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w:t>
            </w:r>
            <w:proofErr w:type="spellStart"/>
            <w:r>
              <w:rPr>
                <w:rFonts w:ascii="Arial" w:eastAsia="Times New Roman" w:hAnsi="Arial" w:cs="Arial"/>
                <w:color w:val="000000"/>
                <w:sz w:val="20"/>
                <w:szCs w:val="20"/>
                <w:lang w:val="en-US"/>
              </w:rPr>
              <w:t>QualBig</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QualBigSig</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£138</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£138</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£942</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£138</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MTA_HalfInt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Mixed</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p&lt;0.10, AIC,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£101</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£117</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£144</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£128</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MTA_DoubleSize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Always,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QualBigSig</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£43</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£170</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£43</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lastRenderedPageBreak/>
              <w:t>MTA_NoInt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£133</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£53</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£117</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MTA_NoInt_DoubleSize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≥1000,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£48</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£0</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£48</w:t>
            </w:r>
          </w:p>
        </w:tc>
      </w:tr>
      <w:tr w:rsidR="0071252D" w:rsidTr="00A12CBE">
        <w:trPr>
          <w:trHeight w:val="20"/>
        </w:trPr>
        <w:tc>
          <w:tcPr>
            <w:tcW w:w="2976" w:type="dxa"/>
            <w:tcBorders>
              <w:top w:val="single" w:sz="12"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UKBEAM</w:t>
            </w:r>
          </w:p>
        </w:tc>
        <w:tc>
          <w:tcPr>
            <w:tcW w:w="1418"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
        </w:tc>
        <w:tc>
          <w:tcPr>
            <w:tcW w:w="1134"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£51</w:t>
            </w:r>
          </w:p>
        </w:tc>
        <w:tc>
          <w:tcPr>
            <w:tcW w:w="1016" w:type="dxa"/>
            <w:tcBorders>
              <w:top w:val="single" w:sz="12"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£52</w:t>
            </w:r>
          </w:p>
        </w:tc>
        <w:tc>
          <w:tcPr>
            <w:tcW w:w="956" w:type="dxa"/>
            <w:tcBorders>
              <w:top w:val="single" w:sz="12"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£56</w:t>
            </w:r>
          </w:p>
        </w:tc>
        <w:tc>
          <w:tcPr>
            <w:tcW w:w="1147" w:type="dxa"/>
            <w:tcBorders>
              <w:top w:val="single" w:sz="12"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£51</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UKBEAM_DoubleInt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£102</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£105</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£170</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£102</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UKBEAM_HalfInt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Sub</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£22</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£50</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£22</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£50</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UKBEAM_DoubleSize</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QualNMB</w:t>
            </w:r>
            <w:proofErr w:type="spellEnd"/>
            <w:r>
              <w:rPr>
                <w:rFonts w:ascii="Arial" w:eastAsia="Times New Roman" w:hAnsi="Arial" w:cs="Arial"/>
                <w:color w:val="000000"/>
                <w:sz w:val="20"/>
                <w:szCs w:val="20"/>
                <w:lang w:val="en-US"/>
              </w:rPr>
              <w:t xml:space="preserve">, </w:t>
            </w:r>
            <w:proofErr w:type="spellStart"/>
            <w:r>
              <w:rPr>
                <w:rFonts w:ascii="Arial" w:eastAsia="Times New Roman" w:hAnsi="Arial" w:cs="Arial"/>
                <w:color w:val="000000"/>
                <w:sz w:val="20"/>
                <w:szCs w:val="20"/>
                <w:lang w:val="en-US"/>
              </w:rPr>
              <w:t>QualBigNMB</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£43</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£44</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£63</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£43</w:t>
            </w:r>
          </w:p>
        </w:tc>
      </w:tr>
      <w:tr w:rsidR="0071252D" w:rsidTr="00A12CBE">
        <w:trPr>
          <w:trHeight w:val="20"/>
        </w:trPr>
        <w:tc>
          <w:tcPr>
            <w:tcW w:w="2976" w:type="dxa"/>
            <w:tcBorders>
              <w:top w:val="single" w:sz="4" w:space="0" w:color="auto"/>
              <w:left w:val="single" w:sz="12"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UKBEAM_NoInt</w:t>
            </w:r>
            <w:proofErr w:type="spellEnd"/>
          </w:p>
        </w:tc>
        <w:tc>
          <w:tcPr>
            <w:tcW w:w="1418"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Qual</w:t>
            </w:r>
            <w:proofErr w:type="spellEnd"/>
            <w:r>
              <w:rPr>
                <w:rFonts w:ascii="Arial" w:eastAsia="Times New Roman" w:hAnsi="Arial" w:cs="Arial"/>
                <w:color w:val="000000"/>
                <w:sz w:val="20"/>
                <w:szCs w:val="20"/>
                <w:lang w:val="en-US"/>
              </w:rPr>
              <w:t xml:space="preserve">, </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£51</w:t>
            </w:r>
          </w:p>
        </w:tc>
        <w:tc>
          <w:tcPr>
            <w:tcW w:w="1016" w:type="dxa"/>
            <w:tcBorders>
              <w:top w:val="single" w:sz="4" w:space="0" w:color="auto"/>
              <w:left w:val="single" w:sz="4" w:space="0" w:color="auto"/>
              <w:bottom w:val="single" w:sz="4"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£73</w:t>
            </w:r>
          </w:p>
        </w:tc>
        <w:tc>
          <w:tcPr>
            <w:tcW w:w="956" w:type="dxa"/>
            <w:tcBorders>
              <w:top w:val="single" w:sz="4" w:space="0" w:color="auto"/>
              <w:left w:val="single" w:sz="4" w:space="0" w:color="auto"/>
              <w:bottom w:val="single" w:sz="4"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£52</w:t>
            </w:r>
          </w:p>
        </w:tc>
        <w:tc>
          <w:tcPr>
            <w:tcW w:w="1147" w:type="dxa"/>
            <w:tcBorders>
              <w:top w:val="single" w:sz="4" w:space="0" w:color="auto"/>
              <w:left w:val="single" w:sz="4" w:space="0" w:color="auto"/>
              <w:bottom w:val="single" w:sz="4"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£73</w:t>
            </w:r>
          </w:p>
        </w:tc>
      </w:tr>
      <w:tr w:rsidR="0071252D" w:rsidTr="00A12CBE">
        <w:trPr>
          <w:trHeight w:val="20"/>
        </w:trPr>
        <w:tc>
          <w:tcPr>
            <w:tcW w:w="2976" w:type="dxa"/>
            <w:tcBorders>
              <w:top w:val="single" w:sz="4" w:space="0" w:color="auto"/>
              <w:left w:val="single" w:sz="12"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proofErr w:type="spellStart"/>
            <w:r>
              <w:rPr>
                <w:rFonts w:ascii="Arial" w:eastAsia="Times New Roman" w:hAnsi="Arial" w:cs="Arial"/>
                <w:color w:val="000000"/>
                <w:sz w:val="20"/>
                <w:szCs w:val="20"/>
                <w:lang w:val="en-US"/>
              </w:rPr>
              <w:t>UKBEAM_NoInt_DoubleSize</w:t>
            </w:r>
            <w:proofErr w:type="spellEnd"/>
          </w:p>
        </w:tc>
        <w:tc>
          <w:tcPr>
            <w:tcW w:w="1418"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Zero</w:t>
            </w:r>
          </w:p>
        </w:tc>
        <w:tc>
          <w:tcPr>
            <w:tcW w:w="5387"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rPr>
                <w:rFonts w:ascii="Arial" w:eastAsia="Times New Roman" w:hAnsi="Arial" w:cs="Arial"/>
                <w:color w:val="000000"/>
                <w:sz w:val="20"/>
                <w:szCs w:val="20"/>
                <w:lang w:val="en-US"/>
              </w:rPr>
            </w:pPr>
            <w:r>
              <w:rPr>
                <w:rFonts w:ascii="Arial" w:eastAsia="Times New Roman" w:hAnsi="Arial" w:cs="Arial"/>
                <w:color w:val="000000"/>
                <w:sz w:val="20"/>
                <w:szCs w:val="20"/>
                <w:lang w:val="en-US"/>
              </w:rPr>
              <w:t xml:space="preserve">Never, ≥250, ≥500, ≥1000, </w:t>
            </w:r>
          </w:p>
        </w:tc>
        <w:tc>
          <w:tcPr>
            <w:tcW w:w="1134"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£35</w:t>
            </w:r>
          </w:p>
        </w:tc>
        <w:tc>
          <w:tcPr>
            <w:tcW w:w="1016" w:type="dxa"/>
            <w:tcBorders>
              <w:top w:val="single" w:sz="4" w:space="0" w:color="auto"/>
              <w:left w:val="single" w:sz="4" w:space="0" w:color="auto"/>
              <w:bottom w:val="single" w:sz="12" w:space="0" w:color="auto"/>
              <w:right w:val="single" w:sz="4"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£52</w:t>
            </w:r>
          </w:p>
        </w:tc>
        <w:tc>
          <w:tcPr>
            <w:tcW w:w="956" w:type="dxa"/>
            <w:tcBorders>
              <w:top w:val="single" w:sz="4" w:space="0" w:color="auto"/>
              <w:left w:val="single" w:sz="4" w:space="0" w:color="auto"/>
              <w:bottom w:val="single" w:sz="12" w:space="0" w:color="auto"/>
              <w:right w:val="single" w:sz="4" w:space="0" w:color="auto"/>
            </w:tcBorders>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£35</w:t>
            </w:r>
          </w:p>
        </w:tc>
        <w:tc>
          <w:tcPr>
            <w:tcW w:w="1147" w:type="dxa"/>
            <w:tcBorders>
              <w:top w:val="single" w:sz="4" w:space="0" w:color="auto"/>
              <w:left w:val="single" w:sz="4" w:space="0" w:color="auto"/>
              <w:bottom w:val="single" w:sz="12" w:space="0" w:color="auto"/>
              <w:right w:val="single" w:sz="12" w:space="0" w:color="auto"/>
            </w:tcBorders>
            <w:noWrap/>
            <w:vAlign w:val="center"/>
            <w:hideMark/>
          </w:tcPr>
          <w:p w:rsidR="0071252D" w:rsidRDefault="0071252D" w:rsidP="00A12CBE">
            <w:pPr>
              <w:spacing w:after="0" w:line="240" w:lineRule="auto"/>
              <w:jc w:val="center"/>
              <w:rPr>
                <w:rFonts w:ascii="Arial" w:eastAsia="Times New Roman" w:hAnsi="Arial" w:cs="Arial"/>
                <w:color w:val="000000"/>
                <w:sz w:val="20"/>
                <w:szCs w:val="20"/>
                <w:lang w:val="en-US"/>
              </w:rPr>
            </w:pPr>
            <w:r>
              <w:rPr>
                <w:rFonts w:ascii="Arial" w:eastAsia="Times New Roman" w:hAnsi="Arial" w:cs="Arial"/>
                <w:color w:val="000000"/>
                <w:sz w:val="20"/>
                <w:szCs w:val="20"/>
                <w:lang w:val="en-US"/>
              </w:rPr>
              <w:t>£52</w:t>
            </w:r>
          </w:p>
        </w:tc>
      </w:tr>
    </w:tbl>
    <w:p w:rsidR="0071252D" w:rsidRDefault="0071252D" w:rsidP="0071252D">
      <w:pPr>
        <w:autoSpaceDE w:val="0"/>
        <w:autoSpaceDN w:val="0"/>
        <w:adjustRightInd w:val="0"/>
        <w:spacing w:after="0" w:line="240" w:lineRule="auto"/>
        <w:rPr>
          <w:rFonts w:ascii="Arial" w:hAnsi="Arial" w:cs="Arial"/>
          <w:sz w:val="20"/>
          <w:szCs w:val="24"/>
        </w:rPr>
      </w:pPr>
      <w:r>
        <w:rPr>
          <w:rFonts w:ascii="Arial" w:hAnsi="Arial" w:cs="Arial"/>
          <w:sz w:val="20"/>
          <w:szCs w:val="24"/>
        </w:rPr>
        <w:t xml:space="preserve">* Abbreviations for interaction types: </w:t>
      </w:r>
      <w:proofErr w:type="spellStart"/>
      <w:r>
        <w:rPr>
          <w:rFonts w:ascii="Arial" w:hAnsi="Arial" w:cs="Arial"/>
          <w:sz w:val="20"/>
          <w:szCs w:val="24"/>
        </w:rPr>
        <w:t>LargeSuper</w:t>
      </w:r>
      <w:proofErr w:type="spellEnd"/>
      <w:r>
        <w:rPr>
          <w:rFonts w:ascii="Arial" w:hAnsi="Arial" w:cs="Arial"/>
          <w:sz w:val="20"/>
          <w:szCs w:val="24"/>
        </w:rPr>
        <w:t xml:space="preserve">, super-additive interaction larger than the smaller of the two simple effects; Mixed, mixed non-qualitative interaction; </w:t>
      </w:r>
      <w:proofErr w:type="spellStart"/>
      <w:r>
        <w:rPr>
          <w:rFonts w:ascii="Arial" w:hAnsi="Arial" w:cs="Arial"/>
          <w:sz w:val="20"/>
          <w:szCs w:val="24"/>
        </w:rPr>
        <w:t>MQual</w:t>
      </w:r>
      <w:proofErr w:type="spellEnd"/>
      <w:r>
        <w:rPr>
          <w:rFonts w:ascii="Arial" w:hAnsi="Arial" w:cs="Arial"/>
          <w:sz w:val="20"/>
          <w:szCs w:val="24"/>
        </w:rPr>
        <w:t xml:space="preserve">, mixed qualitative interaction; </w:t>
      </w:r>
      <w:proofErr w:type="spellStart"/>
      <w:r>
        <w:rPr>
          <w:rFonts w:ascii="Arial" w:hAnsi="Arial" w:cs="Arial"/>
          <w:sz w:val="20"/>
          <w:szCs w:val="24"/>
        </w:rPr>
        <w:t>Qual</w:t>
      </w:r>
      <w:proofErr w:type="spellEnd"/>
      <w:r>
        <w:rPr>
          <w:rFonts w:ascii="Arial" w:hAnsi="Arial" w:cs="Arial"/>
          <w:sz w:val="20"/>
          <w:szCs w:val="24"/>
        </w:rPr>
        <w:t xml:space="preserve">, non-mixed qualitative interaction; </w:t>
      </w:r>
      <w:proofErr w:type="spellStart"/>
      <w:r>
        <w:rPr>
          <w:rFonts w:ascii="Arial" w:hAnsi="Arial" w:cs="Arial"/>
          <w:sz w:val="20"/>
          <w:szCs w:val="24"/>
        </w:rPr>
        <w:t>SubAdd</w:t>
      </w:r>
      <w:proofErr w:type="spellEnd"/>
      <w:r>
        <w:rPr>
          <w:rFonts w:ascii="Arial" w:hAnsi="Arial" w:cs="Arial"/>
          <w:sz w:val="20"/>
          <w:szCs w:val="24"/>
        </w:rPr>
        <w:t>, sub-additive interaction; Super, super-additive interaction smaller than either the simple effect; Zero, interaction equals zero.</w:t>
      </w:r>
    </w:p>
    <w:p w:rsidR="0071252D" w:rsidRDefault="0071252D" w:rsidP="0071252D">
      <w:pPr>
        <w:spacing w:after="0" w:line="240" w:lineRule="auto"/>
        <w:rPr>
          <w:rFonts w:ascii="Arial" w:hAnsi="Arial" w:cs="Arial"/>
        </w:rPr>
      </w:pPr>
      <w:r>
        <w:rPr>
          <w:rFonts w:ascii="Arial" w:hAnsi="Arial" w:cs="Arial"/>
          <w:sz w:val="20"/>
          <w:szCs w:val="24"/>
        </w:rPr>
        <w:t xml:space="preserve">† Abbreviations for analyses: Always, always include all interactions [criterion 1]; Never, never include any interactions [criterion 2]; p&lt;0.05 [or 0.10, 0.25], including interactions where p&lt;0.05 [criterion 3], p&lt;0.10 [criterion 4]; or p&lt;0.25 [criterion 5]; AIC, include interactions decreasing AIC [criterion 6]; BIC, include interactions decreasing BIC [criterion 7]; </w:t>
      </w:r>
      <w:proofErr w:type="spellStart"/>
      <w:r>
        <w:rPr>
          <w:rFonts w:ascii="Arial" w:hAnsi="Arial" w:cs="Arial"/>
          <w:sz w:val="20"/>
          <w:szCs w:val="24"/>
        </w:rPr>
        <w:t>Qual</w:t>
      </w:r>
      <w:proofErr w:type="spellEnd"/>
      <w:r>
        <w:rPr>
          <w:rFonts w:ascii="Arial" w:hAnsi="Arial" w:cs="Arial"/>
          <w:sz w:val="20"/>
          <w:szCs w:val="24"/>
        </w:rPr>
        <w:t xml:space="preserve">, include qualitative interactions in costs or benefits [criterion 8]; </w:t>
      </w:r>
      <w:proofErr w:type="spellStart"/>
      <w:r>
        <w:rPr>
          <w:rFonts w:ascii="Arial" w:hAnsi="Arial" w:cs="Arial"/>
          <w:sz w:val="20"/>
          <w:szCs w:val="24"/>
        </w:rPr>
        <w:t>QualBig</w:t>
      </w:r>
      <w:proofErr w:type="spellEnd"/>
      <w:r>
        <w:rPr>
          <w:rFonts w:ascii="Arial" w:hAnsi="Arial" w:cs="Arial"/>
          <w:sz w:val="20"/>
          <w:szCs w:val="24"/>
        </w:rPr>
        <w:t xml:space="preserve">, include interactions for costs or benefits if </w:t>
      </w:r>
      <w:r>
        <w:rPr>
          <w:rFonts w:ascii="Arial" w:hAnsi="Arial" w:cs="Arial"/>
          <w:color w:val="000000"/>
          <w:sz w:val="20"/>
          <w:szCs w:val="20"/>
          <w:lang w:val="en-US"/>
        </w:rPr>
        <w:t xml:space="preserve">&gt;simple effect [criterion 9]; </w:t>
      </w:r>
      <w:proofErr w:type="spellStart"/>
      <w:r>
        <w:rPr>
          <w:rFonts w:ascii="Arial" w:hAnsi="Arial" w:cs="Arial"/>
          <w:sz w:val="20"/>
          <w:szCs w:val="24"/>
        </w:rPr>
        <w:t>QualBigSig</w:t>
      </w:r>
      <w:proofErr w:type="spellEnd"/>
      <w:r>
        <w:rPr>
          <w:rFonts w:ascii="Arial" w:hAnsi="Arial" w:cs="Arial"/>
          <w:sz w:val="20"/>
          <w:szCs w:val="24"/>
        </w:rPr>
        <w:t xml:space="preserve">, include interactions for costs or benefits if p&lt;0.05 or </w:t>
      </w:r>
      <w:r>
        <w:rPr>
          <w:rFonts w:ascii="Arial" w:hAnsi="Arial" w:cs="Arial"/>
          <w:color w:val="000000"/>
          <w:sz w:val="20"/>
          <w:szCs w:val="20"/>
          <w:lang w:val="en-US"/>
        </w:rPr>
        <w:t>&gt;simple effect [criterion 10];</w:t>
      </w:r>
      <w:r>
        <w:rPr>
          <w:rFonts w:ascii="Arial" w:hAnsi="Arial" w:cs="Arial"/>
          <w:sz w:val="20"/>
          <w:szCs w:val="24"/>
        </w:rPr>
        <w:t xml:space="preserve"> </w:t>
      </w:r>
      <w:proofErr w:type="spellStart"/>
      <w:r>
        <w:rPr>
          <w:rFonts w:ascii="Arial" w:hAnsi="Arial" w:cs="Arial"/>
          <w:sz w:val="20"/>
          <w:szCs w:val="24"/>
        </w:rPr>
        <w:t>QualNMB</w:t>
      </w:r>
      <w:proofErr w:type="spellEnd"/>
      <w:r>
        <w:rPr>
          <w:rFonts w:ascii="Arial" w:hAnsi="Arial" w:cs="Arial"/>
          <w:sz w:val="20"/>
          <w:szCs w:val="24"/>
        </w:rPr>
        <w:t xml:space="preserve">, include qualitative interactions for costs, benefits or NMB [criterion 11]; </w:t>
      </w:r>
      <w:proofErr w:type="spellStart"/>
      <w:r>
        <w:rPr>
          <w:rFonts w:ascii="Arial" w:hAnsi="Arial" w:cs="Arial"/>
          <w:sz w:val="20"/>
          <w:szCs w:val="24"/>
        </w:rPr>
        <w:t>QualBigNMB</w:t>
      </w:r>
      <w:proofErr w:type="spellEnd"/>
      <w:r>
        <w:rPr>
          <w:rFonts w:ascii="Arial" w:hAnsi="Arial" w:cs="Arial"/>
          <w:sz w:val="20"/>
          <w:szCs w:val="24"/>
        </w:rPr>
        <w:t xml:space="preserve">, include interactions for costs, benefits or NMB if </w:t>
      </w:r>
      <w:r>
        <w:rPr>
          <w:rFonts w:ascii="Arial" w:hAnsi="Arial" w:cs="Arial"/>
          <w:color w:val="000000"/>
          <w:sz w:val="20"/>
          <w:szCs w:val="20"/>
          <w:lang w:val="en-US"/>
        </w:rPr>
        <w:t>&gt;simple effect [criterion 12]; ≥250,</w:t>
      </w:r>
      <w:r>
        <w:rPr>
          <w:rFonts w:ascii="Arial" w:hAnsi="Arial" w:cs="Arial"/>
          <w:sz w:val="20"/>
          <w:szCs w:val="24"/>
          <w:lang w:val="en-US"/>
        </w:rPr>
        <w:t xml:space="preserve"> </w:t>
      </w:r>
      <w:r>
        <w:rPr>
          <w:rFonts w:ascii="Arial" w:hAnsi="Arial" w:cs="Arial"/>
          <w:color w:val="000000"/>
          <w:sz w:val="20"/>
          <w:szCs w:val="20"/>
          <w:lang w:val="en-US"/>
        </w:rPr>
        <w:t>include |interactions| ≥0.25 or ≥£250</w:t>
      </w:r>
      <w:r>
        <w:rPr>
          <w:rFonts w:ascii="Arial" w:hAnsi="Arial" w:cs="Arial"/>
          <w:sz w:val="20"/>
          <w:szCs w:val="24"/>
        </w:rPr>
        <w:t xml:space="preserve"> [criterion 13]; </w:t>
      </w:r>
      <w:r>
        <w:rPr>
          <w:rFonts w:ascii="Arial" w:hAnsi="Arial" w:cs="Arial"/>
          <w:color w:val="000000"/>
          <w:sz w:val="20"/>
          <w:szCs w:val="20"/>
          <w:lang w:val="en-US"/>
        </w:rPr>
        <w:t>≥500,</w:t>
      </w:r>
      <w:r>
        <w:rPr>
          <w:rFonts w:ascii="Arial" w:hAnsi="Arial" w:cs="Arial"/>
          <w:sz w:val="20"/>
          <w:szCs w:val="24"/>
          <w:lang w:val="en-US"/>
        </w:rPr>
        <w:t xml:space="preserve"> </w:t>
      </w:r>
      <w:r>
        <w:rPr>
          <w:rFonts w:ascii="Arial" w:hAnsi="Arial" w:cs="Arial"/>
          <w:color w:val="000000"/>
          <w:sz w:val="20"/>
          <w:szCs w:val="20"/>
          <w:lang w:val="en-US"/>
        </w:rPr>
        <w:t>include |interactions| ≥0.5 or ≥£500</w:t>
      </w:r>
      <w:r>
        <w:rPr>
          <w:rFonts w:ascii="Arial" w:hAnsi="Arial" w:cs="Arial"/>
          <w:sz w:val="20"/>
          <w:szCs w:val="24"/>
        </w:rPr>
        <w:t xml:space="preserve"> [criterion 14];</w:t>
      </w:r>
      <w:r>
        <w:rPr>
          <w:rFonts w:ascii="Arial" w:hAnsi="Arial" w:cs="Arial"/>
          <w:color w:val="000000"/>
          <w:sz w:val="20"/>
          <w:szCs w:val="20"/>
          <w:lang w:val="en-US"/>
        </w:rPr>
        <w:t xml:space="preserve"> ≥1000,</w:t>
      </w:r>
      <w:r>
        <w:rPr>
          <w:rFonts w:ascii="Arial" w:hAnsi="Arial" w:cs="Arial"/>
          <w:sz w:val="20"/>
          <w:szCs w:val="24"/>
          <w:lang w:val="en-US"/>
        </w:rPr>
        <w:t xml:space="preserve"> </w:t>
      </w:r>
      <w:r>
        <w:rPr>
          <w:rFonts w:ascii="Arial" w:hAnsi="Arial" w:cs="Arial"/>
          <w:color w:val="000000"/>
          <w:sz w:val="20"/>
          <w:szCs w:val="20"/>
          <w:lang w:val="en-US"/>
        </w:rPr>
        <w:t>include |interactions| ≥1 or ≥£250</w:t>
      </w:r>
      <w:r>
        <w:rPr>
          <w:rFonts w:ascii="Arial" w:hAnsi="Arial" w:cs="Arial"/>
          <w:sz w:val="20"/>
          <w:szCs w:val="24"/>
        </w:rPr>
        <w:t xml:space="preserve"> [criterion 15]</w:t>
      </w:r>
    </w:p>
    <w:p w:rsidR="0071252D" w:rsidRPr="000B5BCA" w:rsidRDefault="0071252D" w:rsidP="0071252D">
      <w:pPr>
        <w:tabs>
          <w:tab w:val="left" w:pos="567"/>
          <w:tab w:val="left" w:pos="1701"/>
        </w:tabs>
        <w:spacing w:after="0" w:line="240" w:lineRule="auto"/>
        <w:rPr>
          <w:rFonts w:ascii="Arial" w:hAnsi="Arial" w:cs="Arial"/>
        </w:rPr>
      </w:pPr>
    </w:p>
    <w:p w:rsidR="0071252D" w:rsidRDefault="0071252D" w:rsidP="0071252D">
      <w:pPr>
        <w:sectPr w:rsidR="0071252D" w:rsidSect="00A12CBE">
          <w:footerReference w:type="even" r:id="rId7"/>
          <w:footerReference w:type="default" r:id="rId8"/>
          <w:pgSz w:w="16838" w:h="11906" w:orient="landscape"/>
          <w:pgMar w:top="1440" w:right="1440" w:bottom="1440" w:left="1440" w:header="708" w:footer="708" w:gutter="0"/>
          <w:cols w:space="708"/>
          <w:docGrid w:linePitch="360"/>
        </w:sectPr>
      </w:pPr>
    </w:p>
    <w:p w:rsidR="0071252D"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r>
        <w:rPr>
          <w:rFonts w:ascii="Arial" w:eastAsia="Calibri" w:hAnsi="Arial" w:cs="Arial"/>
          <w:lang w:eastAsia="en-GB"/>
        </w:rPr>
        <w:lastRenderedPageBreak/>
        <w:t xml:space="preserve">We also assessed coverage, statistical power and bias (Table 4.2). </w:t>
      </w:r>
      <w:r w:rsidRPr="00600FCC">
        <w:rPr>
          <w:rFonts w:ascii="Arial" w:eastAsia="Calibri" w:hAnsi="Arial" w:cs="Arial"/>
          <w:lang w:eastAsia="en-GB"/>
        </w:rPr>
        <w:t xml:space="preserve">Averaged across all trials, coverage was below 95% for all criteria other </w:t>
      </w:r>
      <w:r>
        <w:rPr>
          <w:rFonts w:ascii="Arial" w:eastAsia="Calibri" w:hAnsi="Arial" w:cs="Arial"/>
          <w:lang w:eastAsia="en-GB"/>
        </w:rPr>
        <w:t>than “always include” (Table 4.3</w:t>
      </w:r>
      <w:r w:rsidRPr="00600FCC">
        <w:rPr>
          <w:rFonts w:ascii="Arial" w:eastAsia="Calibri" w:hAnsi="Arial" w:cs="Arial"/>
          <w:lang w:eastAsia="en-GB"/>
        </w:rPr>
        <w:t xml:space="preserve">). However, some trials had a &gt;95% coverage; the explanation for this is unclear, although it could result from the gamma-distributed costs and the ceiling effect for benefits. </w:t>
      </w:r>
    </w:p>
    <w:p w:rsidR="0071252D"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p>
    <w:p w:rsidR="0071252D" w:rsidRPr="00DB6D5C"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DB6D5C">
        <w:rPr>
          <w:rFonts w:ascii="Arial" w:eastAsia="Times New Roman" w:hAnsi="Arial" w:cs="Arial"/>
          <w:b/>
          <w:sz w:val="20"/>
          <w:szCs w:val="20"/>
        </w:rPr>
        <w:t>Table 4</w:t>
      </w:r>
      <w:r>
        <w:rPr>
          <w:rFonts w:ascii="Arial" w:eastAsia="Times New Roman" w:hAnsi="Arial" w:cs="Arial"/>
          <w:b/>
          <w:sz w:val="20"/>
          <w:szCs w:val="20"/>
        </w:rPr>
        <w:t>.2</w:t>
      </w:r>
      <w:r w:rsidRPr="00DB6D5C">
        <w:rPr>
          <w:rFonts w:ascii="Arial" w:eastAsia="Times New Roman" w:hAnsi="Arial" w:cs="Arial"/>
          <w:sz w:val="20"/>
          <w:szCs w:val="20"/>
        </w:rPr>
        <w:t xml:space="preserve"> The measures used to assess performance of the criteria for deciding which interactions are considered</w:t>
      </w:r>
    </w:p>
    <w:tbl>
      <w:tblPr>
        <w:tblW w:w="479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6"/>
        <w:gridCol w:w="3782"/>
        <w:gridCol w:w="3781"/>
      </w:tblGrid>
      <w:tr w:rsidR="00231955" w:rsidRPr="00DB6D5C" w:rsidTr="00231955">
        <w:trPr>
          <w:tblHeader/>
        </w:trPr>
        <w:tc>
          <w:tcPr>
            <w:tcW w:w="731" w:type="pct"/>
            <w:tcBorders>
              <w:top w:val="single" w:sz="4" w:space="0" w:color="auto"/>
              <w:left w:val="single" w:sz="4" w:space="0" w:color="auto"/>
              <w:bottom w:val="single" w:sz="4" w:space="0" w:color="auto"/>
              <w:right w:val="single" w:sz="4" w:space="0" w:color="auto"/>
            </w:tcBorders>
            <w:hideMark/>
          </w:tcPr>
          <w:p w:rsidR="00231955" w:rsidRPr="00DB6D5C"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b/>
                <w:sz w:val="20"/>
                <w:szCs w:val="20"/>
              </w:rPr>
            </w:pPr>
            <w:r w:rsidRPr="00DB6D5C">
              <w:rPr>
                <w:rFonts w:ascii="Arial" w:eastAsia="Times New Roman" w:hAnsi="Arial" w:cs="Arial"/>
                <w:b/>
                <w:sz w:val="20"/>
                <w:szCs w:val="20"/>
              </w:rPr>
              <w:t xml:space="preserve">Measure </w:t>
            </w:r>
          </w:p>
        </w:tc>
        <w:tc>
          <w:tcPr>
            <w:tcW w:w="2134" w:type="pct"/>
            <w:tcBorders>
              <w:top w:val="single" w:sz="4" w:space="0" w:color="auto"/>
              <w:left w:val="single" w:sz="4" w:space="0" w:color="auto"/>
              <w:bottom w:val="single" w:sz="4" w:space="0" w:color="auto"/>
              <w:right w:val="single" w:sz="4" w:space="0" w:color="auto"/>
            </w:tcBorders>
          </w:tcPr>
          <w:p w:rsidR="00231955" w:rsidRPr="00DB6D5C"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b/>
                <w:sz w:val="20"/>
                <w:szCs w:val="20"/>
              </w:rPr>
            </w:pPr>
            <w:r w:rsidRPr="00DB6D5C">
              <w:rPr>
                <w:rFonts w:ascii="Arial" w:eastAsia="Times New Roman" w:hAnsi="Arial" w:cs="Arial"/>
                <w:b/>
                <w:sz w:val="20"/>
                <w:szCs w:val="20"/>
              </w:rPr>
              <w:t>Rationale</w:t>
            </w:r>
          </w:p>
        </w:tc>
        <w:tc>
          <w:tcPr>
            <w:tcW w:w="2134" w:type="pct"/>
            <w:tcBorders>
              <w:top w:val="single" w:sz="4" w:space="0" w:color="auto"/>
              <w:left w:val="single" w:sz="4" w:space="0" w:color="auto"/>
              <w:bottom w:val="single" w:sz="4" w:space="0" w:color="auto"/>
              <w:right w:val="single" w:sz="4" w:space="0" w:color="auto"/>
            </w:tcBorders>
            <w:hideMark/>
          </w:tcPr>
          <w:p w:rsidR="00231955" w:rsidRPr="00DB6D5C"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b/>
                <w:sz w:val="20"/>
                <w:szCs w:val="20"/>
              </w:rPr>
            </w:pPr>
            <w:r w:rsidRPr="00DB6D5C">
              <w:rPr>
                <w:rFonts w:ascii="Arial" w:eastAsia="Times New Roman" w:hAnsi="Arial" w:cs="Arial"/>
                <w:b/>
                <w:sz w:val="20"/>
                <w:szCs w:val="20"/>
              </w:rPr>
              <w:t>Details of calculation</w:t>
            </w:r>
          </w:p>
        </w:tc>
      </w:tr>
      <w:tr w:rsidR="00231955" w:rsidRPr="00795321" w:rsidTr="00231955">
        <w:trPr>
          <w:tblHeader/>
        </w:trPr>
        <w:tc>
          <w:tcPr>
            <w:tcW w:w="731"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Coverage for simple effects</w:t>
            </w:r>
          </w:p>
        </w:tc>
        <w:tc>
          <w:tcPr>
            <w:tcW w:w="2134" w:type="pct"/>
            <w:tcBorders>
              <w:top w:val="single" w:sz="4" w:space="0" w:color="auto"/>
              <w:left w:val="single" w:sz="4" w:space="0" w:color="auto"/>
              <w:bottom w:val="single" w:sz="4" w:space="0" w:color="auto"/>
              <w:right w:val="single" w:sz="4" w:space="0" w:color="auto"/>
            </w:tcBorders>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Under a purely frequentist framework, the priority is to maximise the statistical power to detect the effect of A and B while keeping the risk of a type I error at alpha.</w:t>
            </w:r>
          </w:p>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Coverage and power assess the performance of the criterion for hypothesis testing. However, this is less relevant for economic evaluation. Nonetheless, coverage will (to some extent) identify analyses that are prone to bias as well as those that are inefficient.</w:t>
            </w:r>
          </w:p>
        </w:tc>
        <w:tc>
          <w:tcPr>
            <w:tcW w:w="2134"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The proportion of simulations in which the 95% CI around the effect of A or B from the mixed model favoured by any given criterion included the true simple effect value that was used to generate the simulated trials. The simple effect (i.e</w:t>
            </w:r>
            <w:proofErr w:type="gramStart"/>
            <w:r w:rsidRPr="00795321">
              <w:rPr>
                <w:rFonts w:ascii="Arial" w:eastAsia="Times New Roman" w:hAnsi="Arial" w:cs="Arial"/>
                <w:sz w:val="20"/>
                <w:szCs w:val="20"/>
              </w:rPr>
              <w:t xml:space="preserve">. </w:t>
            </w:r>
            <w:proofErr w:type="gramEnd"/>
            <w:r w:rsidRPr="00795321">
              <w:rPr>
                <w:rFonts w:ascii="Arial" w:eastAsia="Times New Roman" w:hAnsi="Arial" w:cs="Arial"/>
                <w:sz w:val="20"/>
                <w:szCs w:val="20"/>
              </w:rPr>
              <w:object w:dxaOrig="825" w:dyaOrig="3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19.5pt" o:ole="">
                  <v:imagedata r:id="rId9" o:title=""/>
                </v:shape>
                <o:OLEObject Type="Embed" ProgID="Equation.3" ShapeID="_x0000_i1025" DrawAspect="Content" ObjectID="_1627752590" r:id="rId10"/>
              </w:object>
            </w:r>
            <w:r w:rsidRPr="00795321">
              <w:rPr>
                <w:rFonts w:ascii="Arial" w:eastAsia="Times New Roman" w:hAnsi="Arial" w:cs="Arial"/>
                <w:sz w:val="20"/>
                <w:szCs w:val="20"/>
              </w:rPr>
              <w:t xml:space="preserve">) was used to estimate coverage in all cases, since an analysis that excludes an interaction implicitly assumes that the at-the-margin estimate </w:t>
            </w:r>
            <w:r w:rsidRPr="00795321">
              <w:rPr>
                <w:rFonts w:ascii="Arial" w:eastAsia="Times New Roman" w:hAnsi="Arial" w:cs="Arial"/>
                <w:sz w:val="20"/>
                <w:szCs w:val="20"/>
              </w:rPr>
              <w:object w:dxaOrig="2370" w:dyaOrig="390">
                <v:shape id="_x0000_i1026" type="#_x0000_t75" style="width:118.5pt;height:19.5pt" o:ole="">
                  <v:imagedata r:id="rId11" o:title=""/>
                </v:shape>
                <o:OLEObject Type="Embed" ProgID="Equation.3" ShapeID="_x0000_i1026" DrawAspect="Content" ObjectID="_1627752591" r:id="rId12"/>
              </w:object>
            </w:r>
            <w:r w:rsidRPr="00795321">
              <w:rPr>
                <w:rFonts w:ascii="Arial" w:eastAsia="Times New Roman" w:hAnsi="Arial" w:cs="Arial"/>
                <w:sz w:val="20"/>
                <w:szCs w:val="20"/>
              </w:rPr>
              <w:t xml:space="preserve"> equals the simple effect </w:t>
            </w:r>
            <w:r w:rsidRPr="00795321">
              <w:rPr>
                <w:rFonts w:ascii="Arial" w:eastAsia="Times New Roman" w:hAnsi="Arial" w:cs="Arial"/>
                <w:sz w:val="20"/>
                <w:szCs w:val="20"/>
              </w:rPr>
              <w:object w:dxaOrig="825" w:dyaOrig="390">
                <v:shape id="_x0000_i1027" type="#_x0000_t75" style="width:41.25pt;height:19.5pt" o:ole="">
                  <v:imagedata r:id="rId13" o:title=""/>
                </v:shape>
                <o:OLEObject Type="Embed" ProgID="Equation.3" ShapeID="_x0000_i1027" DrawAspect="Content" ObjectID="_1627752592" r:id="rId14"/>
              </w:object>
            </w:r>
            <w:r w:rsidRPr="00795321">
              <w:rPr>
                <w:rFonts w:ascii="Arial" w:eastAsia="Times New Roman" w:hAnsi="Arial" w:cs="Arial"/>
                <w:sz w:val="20"/>
                <w:szCs w:val="20"/>
              </w:rPr>
              <w:t>.</w:t>
            </w:r>
          </w:p>
        </w:tc>
      </w:tr>
      <w:tr w:rsidR="00231955" w:rsidRPr="00795321" w:rsidTr="00231955">
        <w:trPr>
          <w:tblHeader/>
        </w:trPr>
        <w:tc>
          <w:tcPr>
            <w:tcW w:w="731"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Statistical power for main effects</w:t>
            </w:r>
          </w:p>
        </w:tc>
        <w:tc>
          <w:tcPr>
            <w:tcW w:w="2134" w:type="pct"/>
            <w:tcBorders>
              <w:top w:val="single" w:sz="4" w:space="0" w:color="auto"/>
              <w:left w:val="single" w:sz="4" w:space="0" w:color="auto"/>
              <w:bottom w:val="single" w:sz="4" w:space="0" w:color="auto"/>
              <w:right w:val="single" w:sz="4" w:space="0" w:color="auto"/>
            </w:tcBorders>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p>
        </w:tc>
        <w:tc>
          <w:tcPr>
            <w:tcW w:w="2134"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The proportion of simulations in which the coefficient of A (or B) in the analysis chosen by any given criterion is significantly different from zero (p&lt;0.05).</w:t>
            </w:r>
          </w:p>
        </w:tc>
      </w:tr>
      <w:tr w:rsidR="00231955" w:rsidRPr="00795321" w:rsidTr="00231955">
        <w:trPr>
          <w:tblHeader/>
        </w:trPr>
        <w:tc>
          <w:tcPr>
            <w:tcW w:w="731"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Amount of bias in incremental effects</w:t>
            </w:r>
          </w:p>
        </w:tc>
        <w:tc>
          <w:tcPr>
            <w:tcW w:w="2134" w:type="pct"/>
            <w:tcBorders>
              <w:top w:val="single" w:sz="4" w:space="0" w:color="auto"/>
              <w:left w:val="single" w:sz="4" w:space="0" w:color="auto"/>
              <w:bottom w:val="single" w:sz="4" w:space="0" w:color="auto"/>
              <w:right w:val="single" w:sz="4" w:space="0" w:color="auto"/>
            </w:tcBorders>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The treatment effects estimated within analyses excluding interactions are biased estimates of the simple effect (</w:t>
            </w:r>
            <w:r w:rsidRPr="00795321">
              <w:rPr>
                <w:rFonts w:ascii="Arial" w:eastAsia="Times New Roman" w:hAnsi="Arial" w:cs="Arial"/>
                <w:sz w:val="20"/>
                <w:szCs w:val="20"/>
              </w:rPr>
              <w:object w:dxaOrig="825" w:dyaOrig="390" w14:anchorId="68B7644C">
                <v:shape id="_x0000_i1028" type="#_x0000_t75" style="width:41.25pt;height:19.5pt" o:ole="">
                  <v:imagedata r:id="rId9" o:title=""/>
                </v:shape>
                <o:OLEObject Type="Embed" ProgID="Equation.3" ShapeID="_x0000_i1028" DrawAspect="Content" ObjectID="_1627752593" r:id="rId15"/>
              </w:object>
            </w:r>
            <w:r w:rsidRPr="00795321">
              <w:rPr>
                <w:rFonts w:ascii="Arial" w:eastAsia="Times New Roman" w:hAnsi="Arial" w:cs="Arial"/>
                <w:sz w:val="20"/>
                <w:szCs w:val="20"/>
              </w:rPr>
              <w:t xml:space="preserve">), where the bias is half the size of the interaction term </w:t>
            </w:r>
            <w:r w:rsidRPr="00795321">
              <w:rPr>
                <w:rFonts w:ascii="Arial" w:eastAsia="Times New Roman" w:hAnsi="Arial" w:cs="Arial"/>
                <w:sz w:val="20"/>
                <w:szCs w:val="20"/>
              </w:rPr>
              <w:fldChar w:fldCharType="begin"/>
            </w:r>
            <w:r>
              <w:rPr>
                <w:rFonts w:ascii="Arial" w:eastAsia="Times New Roman" w:hAnsi="Arial" w:cs="Arial"/>
                <w:sz w:val="20"/>
                <w:szCs w:val="20"/>
              </w:rPr>
              <w:instrText xml:space="preserve"> ADDIN EN.CITE &lt;EndNote&gt;&lt;Cite&gt;&lt;Author&gt;Hung&lt;/Author&gt;&lt;Year&gt;1993&lt;/Year&gt;&lt;RecNum&gt;107&lt;/RecNum&gt;&lt;DisplayText&gt;[1]&lt;/DisplayText&gt;&lt;record&gt;&lt;rec-number&gt;107&lt;/rec-number&gt;&lt;foreign-keys&gt;&lt;key app="EN" db-id="eea5zrezk9ppaleazeapv0srvxz9wr0w90tr" timestamp="0"&gt;107&lt;/key&gt;&lt;/foreign-keys&gt;&lt;ref-type name="Journal Article"&gt;17&lt;/ref-type&gt;&lt;contributors&gt;&lt;authors&gt;&lt;author&gt;Hung, H. M.&lt;/author&gt;&lt;/authors&gt;&lt;/contributors&gt;&lt;auth-address&gt;Statistical Evaluation and Research Branch, Food and Drug Administration, Rockville, Maryland 20857.&lt;/auth-address&gt;&lt;titles&gt;&lt;title&gt;Two-stage tests for studying monotherapy and combination therapy in two-by-two factorial trials&lt;/title&gt;&lt;secondary-title&gt;Stat Med&lt;/secondary-title&gt;&lt;/titles&gt;&lt;periodical&gt;&lt;full-title&gt;Stat Med&lt;/full-title&gt;&lt;/periodical&gt;&lt;pages&gt;645-60&lt;/pages&gt;&lt;volume&gt;12&lt;/volume&gt;&lt;number&gt;7&lt;/number&gt;&lt;edition&gt;1993/04/15&lt;/edition&gt;&lt;keywords&gt;&lt;keyword&gt;Clinical Trials as Topic/*statistics &amp;amp; numerical data&lt;/keyword&gt;&lt;keyword&gt;Drug Therapy/*statistics &amp;amp; numerical data&lt;/keyword&gt;&lt;keyword&gt;*Drug Therapy, Combination&lt;/keyword&gt;&lt;keyword&gt;*Factor Analysis, Statistical&lt;/keyword&gt;&lt;keyword&gt;Humans&lt;/keyword&gt;&lt;keyword&gt;Models, Statistical&lt;/keyword&gt;&lt;/keywords&gt;&lt;dates&gt;&lt;year&gt;1993&lt;/year&gt;&lt;pub-dates&gt;&lt;date&gt;Apr 15&lt;/date&gt;&lt;/pub-dates&gt;&lt;/dates&gt;&lt;isbn&gt;0277-6715 (Print)&amp;#xD;0277-6715 (Linking)&lt;/isbn&gt;&lt;accession-num&gt;8511441&lt;/accession-num&gt;&lt;urls&gt;&lt;related-urls&gt;&lt;url&gt;http://www.ncbi.nlm.nih.gov/entrez/query.fcgi?cmd=Retrieve&amp;amp;db=PubMed&amp;amp;dopt=Citation&amp;amp;list_uids=8511441&lt;/url&gt;&lt;/related-urls&gt;&lt;/urls&gt;&lt;language&gt;eng&lt;/language&gt;&lt;/record&gt;&lt;/Cite&gt;&lt;/EndNote&gt;</w:instrText>
            </w:r>
            <w:r w:rsidRPr="00795321">
              <w:rPr>
                <w:rFonts w:ascii="Arial" w:eastAsia="Times New Roman" w:hAnsi="Arial" w:cs="Arial"/>
                <w:sz w:val="20"/>
                <w:szCs w:val="20"/>
              </w:rPr>
              <w:fldChar w:fldCharType="separate"/>
            </w:r>
            <w:r>
              <w:rPr>
                <w:rFonts w:ascii="Arial" w:eastAsia="Times New Roman" w:hAnsi="Arial" w:cs="Arial"/>
                <w:noProof/>
                <w:sz w:val="20"/>
                <w:szCs w:val="20"/>
              </w:rPr>
              <w:t>[1]</w:t>
            </w:r>
            <w:r w:rsidRPr="00795321">
              <w:rPr>
                <w:rFonts w:ascii="Arial" w:eastAsia="Times New Roman" w:hAnsi="Arial" w:cs="Arial"/>
                <w:sz w:val="20"/>
                <w:szCs w:val="20"/>
              </w:rPr>
              <w:fldChar w:fldCharType="end"/>
            </w:r>
            <w:r w:rsidRPr="00795321">
              <w:rPr>
                <w:rFonts w:ascii="Arial" w:eastAsia="Times New Roman" w:hAnsi="Arial" w:cs="Arial"/>
                <w:sz w:val="20"/>
                <w:szCs w:val="20"/>
              </w:rPr>
              <w:t xml:space="preserve">. However, large interactions may have no impact on our treatment adoption </w:t>
            </w:r>
            <w:proofErr w:type="gramStart"/>
            <w:r w:rsidRPr="00795321">
              <w:rPr>
                <w:rFonts w:ascii="Arial" w:eastAsia="Times New Roman" w:hAnsi="Arial" w:cs="Arial"/>
                <w:sz w:val="20"/>
                <w:szCs w:val="20"/>
              </w:rPr>
              <w:t>decision,</w:t>
            </w:r>
            <w:proofErr w:type="gramEnd"/>
            <w:r w:rsidRPr="00795321">
              <w:rPr>
                <w:rFonts w:ascii="Arial" w:eastAsia="Times New Roman" w:hAnsi="Arial" w:cs="Arial"/>
                <w:sz w:val="20"/>
                <w:szCs w:val="20"/>
              </w:rPr>
              <w:t xml:space="preserve"> whereas some small interactions may change which treatment has highest NMB.</w:t>
            </w:r>
          </w:p>
        </w:tc>
        <w:tc>
          <w:tcPr>
            <w:tcW w:w="2134" w:type="pct"/>
            <w:tcBorders>
              <w:top w:val="single" w:sz="4" w:space="0" w:color="auto"/>
              <w:left w:val="single" w:sz="4" w:space="0" w:color="auto"/>
              <w:bottom w:val="single" w:sz="4" w:space="0" w:color="auto"/>
              <w:right w:val="single" w:sz="4" w:space="0" w:color="auto"/>
            </w:tcBorders>
            <w:hideMark/>
          </w:tcPr>
          <w:p w:rsidR="00231955" w:rsidRPr="00795321" w:rsidRDefault="00231955"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795321">
              <w:rPr>
                <w:rFonts w:ascii="Arial" w:eastAsia="Times New Roman" w:hAnsi="Arial" w:cs="Arial"/>
                <w:sz w:val="20"/>
                <w:szCs w:val="20"/>
              </w:rPr>
              <w:t>The average bias within estimates of the incremental costs [benefits] of A or B was estimated by multiplying the proportion of samples in which the analysis ignored interactions that were not truly zero by 50% of the absolute true interaction term within those scenarios. For example, if the true interaction were £200 and criterion X allowed for the interaction in 40% of samples</w:t>
            </w:r>
            <w:proofErr w:type="gramStart"/>
            <w:r w:rsidRPr="00795321">
              <w:rPr>
                <w:rFonts w:ascii="Arial" w:eastAsia="Times New Roman" w:hAnsi="Arial" w:cs="Arial"/>
                <w:sz w:val="20"/>
                <w:szCs w:val="20"/>
              </w:rPr>
              <w:t>:</w:t>
            </w:r>
            <w:r w:rsidRPr="00795321">
              <w:rPr>
                <w:rFonts w:ascii="Arial" w:eastAsia="Times New Roman" w:hAnsi="Arial" w:cs="Arial"/>
                <w:sz w:val="20"/>
                <w:szCs w:val="20"/>
              </w:rPr>
              <w:object w:dxaOrig="3045" w:dyaOrig="420">
                <v:shape id="_x0000_i1029" type="#_x0000_t75" style="width:152.25pt;height:21pt" o:ole="">
                  <v:imagedata r:id="rId16" o:title=""/>
                </v:shape>
                <o:OLEObject Type="Embed" ProgID="Equation.3" ShapeID="_x0000_i1029" DrawAspect="Content" ObjectID="_1627752594" r:id="rId17"/>
              </w:object>
            </w:r>
            <w:r w:rsidRPr="00795321">
              <w:rPr>
                <w:rFonts w:ascii="Arial" w:eastAsia="Times New Roman" w:hAnsi="Arial" w:cs="Arial"/>
                <w:sz w:val="20"/>
                <w:szCs w:val="20"/>
              </w:rPr>
              <w:t>.</w:t>
            </w:r>
            <w:proofErr w:type="gramEnd"/>
          </w:p>
        </w:tc>
      </w:tr>
    </w:tbl>
    <w:p w:rsidR="0071252D" w:rsidRPr="00600FCC"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r w:rsidRPr="00600FCC">
        <w:rPr>
          <w:rFonts w:ascii="Arial" w:eastAsia="Times New Roman" w:hAnsi="Arial" w:cs="Arial"/>
        </w:rPr>
        <w:t xml:space="preserve">In order to approximate the QALY distributions seen in real trials, health benefits for all scenarios other than those assuming no interaction were truncated at a maximum level relevant to each trial. Such ceiling effects reduce the means and </w:t>
      </w:r>
      <w:r w:rsidR="00231955">
        <w:rPr>
          <w:rFonts w:ascii="Arial" w:eastAsia="Times New Roman" w:hAnsi="Arial" w:cs="Arial"/>
        </w:rPr>
        <w:t>standard deviations (</w:t>
      </w:r>
      <w:r w:rsidRPr="00600FCC">
        <w:rPr>
          <w:rFonts w:ascii="Arial" w:eastAsia="Times New Roman" w:hAnsi="Arial" w:cs="Arial"/>
        </w:rPr>
        <w:t>SDs</w:t>
      </w:r>
      <w:r w:rsidR="00231955">
        <w:rPr>
          <w:rFonts w:ascii="Arial" w:eastAsia="Times New Roman" w:hAnsi="Arial" w:cs="Arial"/>
        </w:rPr>
        <w:t>)</w:t>
      </w:r>
      <w:r w:rsidRPr="00600FCC">
        <w:rPr>
          <w:rFonts w:ascii="Arial" w:eastAsia="Times New Roman" w:hAnsi="Arial" w:cs="Arial"/>
        </w:rPr>
        <w:t xml:space="preserve"> for the simulated samples to values less than the secondary data on which they are based and reduce means/SDs more for the treatment arms with highest mean benefits. Such ceiling effects will not change which treatment has highest health benefits or NMB in each sample and will therefore not bias estimates of the probability or opportunity cost of adopting the wrong treatment. However, ceiling effects will mean that the average size of the interaction term across all 300 samples will be systematically different from the values shown in Online Resource 3. As result, mixed models estimated that the interactions for QALYs were, on average 9.8% lower than the data inputs would suggest; as expected, the discrepancy was greatest for the 20 scenarios where the ceiling effect was &lt;2 SDs from the largest group mean. Ceiling effects will also introduce a systematic error into coverage estimates. Nonetheless, this is unlikely to affect the conclusions since ceiling effects were not used for the scenarios assuming no interaction.</w:t>
      </w:r>
    </w:p>
    <w:p w:rsidR="0071252D"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r w:rsidRPr="00600FCC">
        <w:rPr>
          <w:rFonts w:ascii="Arial" w:eastAsia="Calibri" w:hAnsi="Arial" w:cs="Arial"/>
          <w:lang w:eastAsia="en-GB"/>
        </w:rPr>
        <w:lastRenderedPageBreak/>
        <w:t xml:space="preserve">Coverage was markedly reduced for criteria that excluded some/all interactions, since it was defined as the proportion of samples in which the 95% CI included the true </w:t>
      </w:r>
      <w:r w:rsidRPr="00600FCC">
        <w:rPr>
          <w:rFonts w:ascii="Arial" w:eastAsia="Calibri" w:hAnsi="Arial" w:cs="Arial"/>
          <w:i/>
          <w:lang w:eastAsia="en-GB"/>
        </w:rPr>
        <w:t>simple effect</w:t>
      </w:r>
      <w:r w:rsidRPr="00600FCC">
        <w:rPr>
          <w:rFonts w:ascii="Arial" w:eastAsia="Calibri" w:hAnsi="Arial" w:cs="Arial"/>
          <w:lang w:eastAsia="en-GB"/>
        </w:rPr>
        <w:t xml:space="preserve"> (i.e. the difference between the means for groups </w:t>
      </w:r>
      <w:r w:rsidRPr="00600FCC">
        <w:rPr>
          <w:rFonts w:ascii="Arial" w:eastAsia="Calibri" w:hAnsi="Arial" w:cs="Arial"/>
          <w:i/>
          <w:lang w:eastAsia="en-GB"/>
        </w:rPr>
        <w:t>a</w:t>
      </w:r>
      <w:r w:rsidRPr="00600FCC">
        <w:rPr>
          <w:rFonts w:ascii="Arial" w:eastAsia="Calibri" w:hAnsi="Arial" w:cs="Arial"/>
          <w:lang w:eastAsia="en-GB"/>
        </w:rPr>
        <w:t xml:space="preserve"> and </w:t>
      </w:r>
      <w:r w:rsidRPr="00600FCC">
        <w:rPr>
          <w:rFonts w:ascii="Arial" w:eastAsia="Calibri" w:hAnsi="Arial" w:cs="Arial"/>
          <w:i/>
          <w:lang w:eastAsia="en-GB"/>
        </w:rPr>
        <w:t>0</w:t>
      </w:r>
      <w:r w:rsidRPr="00600FCC">
        <w:rPr>
          <w:rFonts w:ascii="Arial" w:eastAsia="Calibri" w:hAnsi="Arial" w:cs="Arial"/>
          <w:lang w:eastAsia="en-GB"/>
        </w:rPr>
        <w:t xml:space="preserve">). For analyses excluding interactions, treatment effects are estimated as the effect of </w:t>
      </w:r>
      <w:proofErr w:type="gramStart"/>
      <w:r w:rsidRPr="00600FCC">
        <w:rPr>
          <w:rFonts w:ascii="Arial" w:eastAsia="Calibri" w:hAnsi="Arial" w:cs="Arial"/>
          <w:lang w:eastAsia="en-GB"/>
        </w:rPr>
        <w:t>A</w:t>
      </w:r>
      <w:proofErr w:type="gramEnd"/>
      <w:r w:rsidRPr="00600FCC">
        <w:rPr>
          <w:rFonts w:ascii="Arial" w:eastAsia="Calibri" w:hAnsi="Arial" w:cs="Arial"/>
          <w:lang w:eastAsia="en-GB"/>
        </w:rPr>
        <w:t xml:space="preserve"> averaged </w:t>
      </w:r>
      <w:r w:rsidRPr="00600FCC">
        <w:rPr>
          <w:rFonts w:ascii="Arial" w:eastAsia="Calibri" w:hAnsi="Arial" w:cs="Arial"/>
          <w:i/>
          <w:lang w:eastAsia="en-GB"/>
        </w:rPr>
        <w:t>across patients with and without B</w:t>
      </w:r>
      <w:r w:rsidRPr="00600FCC">
        <w:rPr>
          <w:rFonts w:ascii="Arial" w:eastAsia="Calibri" w:hAnsi="Arial" w:cs="Arial"/>
          <w:lang w:eastAsia="en-GB"/>
        </w:rPr>
        <w:t xml:space="preserve">; the 95% CI around this </w:t>
      </w:r>
      <w:r w:rsidRPr="00600FCC">
        <w:rPr>
          <w:rFonts w:ascii="Arial" w:eastAsia="Calibri" w:hAnsi="Arial" w:cs="Arial"/>
          <w:i/>
          <w:lang w:eastAsia="en-GB"/>
        </w:rPr>
        <w:t xml:space="preserve">main effect </w:t>
      </w:r>
      <w:r w:rsidRPr="00600FCC">
        <w:rPr>
          <w:rFonts w:ascii="Arial" w:eastAsia="Calibri" w:hAnsi="Arial" w:cs="Arial"/>
          <w:lang w:eastAsia="en-GB"/>
        </w:rPr>
        <w:t>may exclude the true simple effect due to either omitted-interaction bias or a failure of distributional assumptions. As result, coverage is affected by both bias and inefficiency and was directly proportional to the proportion of samples in which interactions were included.</w:t>
      </w: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Calibri" w:hAnsi="Arial" w:cs="Arial"/>
          <w:lang w:eastAsia="en-GB"/>
        </w:rPr>
      </w:pPr>
      <w:r w:rsidRPr="00600FCC">
        <w:rPr>
          <w:rFonts w:ascii="Arial" w:eastAsia="Calibri" w:hAnsi="Arial" w:cs="Arial"/>
          <w:lang w:eastAsia="en-GB"/>
        </w:rPr>
        <w:t xml:space="preserve">On average, the six original trials had 76% (range: 39-100%) power to detect the main treatment effect for cost ignoring all interactions, compared with 49% (range: 24-82%) power for benefits. Although power was, on average, lower for "always include" than for "never include", some criteria (e.g. 8, 14 or 15) had higher power than "never include" (Table 4.2) because pooling treatment arms despite large interactions reduces power </w:t>
      </w:r>
      <w:r>
        <w:rPr>
          <w:rFonts w:ascii="Arial" w:eastAsia="Calibri" w:hAnsi="Arial" w:cs="Arial"/>
          <w:lang w:eastAsia="en-GB"/>
        </w:rPr>
        <w:fldChar w:fldCharType="begin">
          <w:fldData xml:space="preserve">PEVuZE5vdGU+PENpdGU+PEF1dGhvcj5Ccml0dGFpbjwvQXV0aG9yPjxZZWFyPjE5ODk8L1llYXI+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</w:fldData>
        </w:fldChar>
      </w:r>
      <w:r>
        <w:rPr>
          <w:rFonts w:ascii="Arial" w:eastAsia="Calibri" w:hAnsi="Arial" w:cs="Arial"/>
          <w:lang w:eastAsia="en-GB"/>
        </w:rPr>
        <w:instrText xml:space="preserve"> ADDIN EN.CITE </w:instrText>
      </w:r>
      <w:r>
        <w:rPr>
          <w:rFonts w:ascii="Arial" w:eastAsia="Calibri" w:hAnsi="Arial" w:cs="Arial"/>
          <w:lang w:eastAsia="en-GB"/>
        </w:rPr>
        <w:fldChar w:fldCharType="begin">
          <w:fldData xml:space="preserve">PEVuZE5vdGU+PENpdGU+PEF1dGhvcj5Ccml0dGFpbjwvQXV0aG9yPjxZZWFyPjE5ODk8L1llYXI+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</w:fldData>
        </w:fldChar>
      </w:r>
      <w:r>
        <w:rPr>
          <w:rFonts w:ascii="Arial" w:eastAsia="Calibri" w:hAnsi="Arial" w:cs="Arial"/>
          <w:lang w:eastAsia="en-GB"/>
        </w:rPr>
        <w:instrText xml:space="preserve"> ADDIN EN.CITE.DATA </w:instrText>
      </w:r>
      <w:r>
        <w:rPr>
          <w:rFonts w:ascii="Arial" w:eastAsia="Calibri" w:hAnsi="Arial" w:cs="Arial"/>
          <w:lang w:eastAsia="en-GB"/>
        </w:rPr>
      </w:r>
      <w:r>
        <w:rPr>
          <w:rFonts w:ascii="Arial" w:eastAsia="Calibri" w:hAnsi="Arial" w:cs="Arial"/>
          <w:lang w:eastAsia="en-GB"/>
        </w:rPr>
        <w:fldChar w:fldCharType="end"/>
      </w:r>
      <w:r>
        <w:rPr>
          <w:rFonts w:ascii="Arial" w:eastAsia="Calibri" w:hAnsi="Arial" w:cs="Arial"/>
          <w:lang w:eastAsia="en-GB"/>
        </w:rPr>
      </w:r>
      <w:r>
        <w:rPr>
          <w:rFonts w:ascii="Arial" w:eastAsia="Calibri" w:hAnsi="Arial" w:cs="Arial"/>
          <w:lang w:eastAsia="en-GB"/>
        </w:rPr>
        <w:fldChar w:fldCharType="separate"/>
      </w:r>
      <w:r>
        <w:rPr>
          <w:rFonts w:ascii="Arial" w:eastAsia="Calibri" w:hAnsi="Arial" w:cs="Arial"/>
          <w:noProof/>
          <w:lang w:eastAsia="en-GB"/>
        </w:rPr>
        <w:t>[2-5]</w:t>
      </w:r>
      <w:r>
        <w:rPr>
          <w:rFonts w:ascii="Arial" w:eastAsia="Calibri" w:hAnsi="Arial" w:cs="Arial"/>
          <w:lang w:eastAsia="en-GB"/>
        </w:rPr>
        <w:fldChar w:fldCharType="end"/>
      </w:r>
      <w:r w:rsidRPr="00600FCC">
        <w:rPr>
          <w:rFonts w:ascii="Arial" w:eastAsia="Calibri" w:hAnsi="Arial" w:cs="Arial"/>
          <w:lang w:eastAsia="en-GB"/>
        </w:rPr>
        <w:t>.</w:t>
      </w: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rPr>
      </w:pPr>
    </w:p>
    <w:p w:rsidR="0071252D" w:rsidRDefault="0071252D" w:rsidP="0071252D">
      <w:pPr>
        <w:tabs>
          <w:tab w:val="left" w:pos="567"/>
          <w:tab w:val="left" w:pos="1701"/>
        </w:tabs>
        <w:spacing w:after="0" w:line="240" w:lineRule="auto"/>
        <w:rPr>
          <w:rFonts w:ascii="Arial" w:eastAsia="Calibri" w:hAnsi="Arial" w:cs="Arial"/>
          <w:lang w:eastAsia="en-GB"/>
        </w:rPr>
      </w:pPr>
      <w:r w:rsidRPr="00600FCC">
        <w:rPr>
          <w:rFonts w:ascii="Arial" w:eastAsia="Calibri" w:hAnsi="Arial" w:cs="Arial"/>
          <w:lang w:eastAsia="en-GB"/>
        </w:rPr>
        <w:t>Bias from omitted interactions was substantial for many trials and criteria, but was completely avoided by including all interactions (Table 4.2). As expected, all other criteria produced some bias, although bias was 15-47% larger for "never include" than the second worst criterion (BIC). With the exception of “always include”, the three criteria including interactions above a certain absolute size had lowest absolute mean bias.</w:t>
      </w:r>
    </w:p>
    <w:p w:rsidR="0071252D" w:rsidRPr="00192AE3" w:rsidRDefault="0071252D" w:rsidP="0071252D">
      <w:pPr>
        <w:spacing w:after="0" w:line="240" w:lineRule="auto"/>
        <w:rPr>
          <w:rFonts w:ascii="Arial" w:hAnsi="Arial" w:cs="Arial"/>
        </w:rPr>
      </w:pPr>
    </w:p>
    <w:p w:rsidR="0071252D" w:rsidRPr="00192AE3" w:rsidRDefault="0071252D" w:rsidP="0071252D">
      <w:pPr>
        <w:spacing w:after="0" w:line="240" w:lineRule="auto"/>
        <w:rPr>
          <w:rFonts w:ascii="Arial" w:hAnsi="Arial" w:cs="Arial"/>
        </w:rPr>
      </w:pPr>
    </w:p>
    <w:p w:rsidR="0071252D" w:rsidRDefault="0071252D" w:rsidP="0071252D">
      <w:pPr>
        <w:rPr>
          <w:rFonts w:ascii="Arial" w:hAnsi="Arial" w:cs="Arial"/>
        </w:rPr>
        <w:sectPr w:rsidR="0071252D" w:rsidSect="00A12CBE">
          <w:pgSz w:w="11906" w:h="16838"/>
          <w:pgMar w:top="1440" w:right="1440" w:bottom="1440" w:left="1440" w:header="708" w:footer="708" w:gutter="0"/>
          <w:cols w:space="708"/>
          <w:docGrid w:linePitch="360"/>
        </w:sectPr>
      </w:pPr>
    </w:p>
    <w:p w:rsidR="0071252D" w:rsidRPr="00795321" w:rsidRDefault="0071252D" w:rsidP="0071252D">
      <w:pPr>
        <w:spacing w:after="0" w:line="240" w:lineRule="auto"/>
      </w:pPr>
      <w:r w:rsidRPr="00600FCC">
        <w:rPr>
          <w:rFonts w:ascii="Arial" w:hAnsi="Arial" w:cs="Arial"/>
          <w:b/>
          <w:sz w:val="20"/>
          <w:szCs w:val="20"/>
        </w:rPr>
        <w:lastRenderedPageBreak/>
        <w:t>Table 4.</w:t>
      </w:r>
      <w:r>
        <w:rPr>
          <w:rFonts w:ascii="Arial" w:hAnsi="Arial" w:cs="Arial"/>
          <w:b/>
          <w:sz w:val="20"/>
          <w:szCs w:val="20"/>
        </w:rPr>
        <w:t>3</w:t>
      </w:r>
      <w:r w:rsidRPr="00600FCC">
        <w:rPr>
          <w:rFonts w:ascii="Arial" w:eastAsia="Times New Roman" w:hAnsi="Arial" w:cs="Arial"/>
          <w:sz w:val="20"/>
        </w:rPr>
        <w:t xml:space="preserve"> Comparison of performance of the different criteria with regards coverage, power and bias. The values shown in bold represent the most favourable of all criteria for this measure</w:t>
      </w:r>
    </w:p>
    <w:tbl>
      <w:tblPr>
        <w:tblW w:w="1500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1824"/>
        <w:gridCol w:w="1824"/>
        <w:gridCol w:w="1824"/>
        <w:gridCol w:w="1824"/>
        <w:gridCol w:w="2198"/>
        <w:gridCol w:w="1824"/>
      </w:tblGrid>
      <w:tr w:rsidR="0071252D" w:rsidRPr="00600FCC" w:rsidTr="00A12CBE">
        <w:trPr>
          <w:trHeight w:val="20"/>
          <w:tblHeader/>
        </w:trPr>
        <w:tc>
          <w:tcPr>
            <w:tcW w:w="3687" w:type="dxa"/>
            <w:vMerge w:val="restart"/>
            <w:tcBorders>
              <w:top w:val="single" w:sz="12" w:space="0" w:color="auto"/>
              <w:left w:val="single" w:sz="12" w:space="0" w:color="auto"/>
              <w:bottom w:val="single" w:sz="12" w:space="0" w:color="auto"/>
              <w:right w:val="single" w:sz="12" w:space="0" w:color="auto"/>
            </w:tcBorders>
            <w:noWrap/>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Criterion</w:t>
            </w:r>
          </w:p>
        </w:tc>
        <w:tc>
          <w:tcPr>
            <w:tcW w:w="3648" w:type="dxa"/>
            <w:gridSpan w:val="2"/>
            <w:tcBorders>
              <w:top w:val="single" w:sz="12" w:space="0" w:color="auto"/>
              <w:left w:val="single" w:sz="12" w:space="0" w:color="auto"/>
              <w:bottom w:val="single" w:sz="4"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 xml:space="preserve">Coverage for effects of A and B: </w:t>
            </w:r>
          </w:p>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 (n)</w:t>
            </w:r>
            <w:r w:rsidRPr="00600FCC">
              <w:rPr>
                <w:rFonts w:ascii="Arial" w:eastAsia="Times New Roman" w:hAnsi="Arial" w:cs="Arial"/>
                <w:b/>
                <w:bCs/>
                <w:sz w:val="20"/>
                <w:szCs w:val="20"/>
                <w:vertAlign w:val="superscript"/>
                <w:lang w:eastAsia="en-GB"/>
              </w:rPr>
              <w:t>a</w:t>
            </w:r>
          </w:p>
        </w:tc>
        <w:tc>
          <w:tcPr>
            <w:tcW w:w="3648" w:type="dxa"/>
            <w:gridSpan w:val="2"/>
            <w:tcBorders>
              <w:top w:val="single" w:sz="12" w:space="0" w:color="auto"/>
              <w:left w:val="single" w:sz="12" w:space="0" w:color="auto"/>
              <w:bottom w:val="single" w:sz="4"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 xml:space="preserve">Power for effects of A and B: </w:t>
            </w:r>
          </w:p>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 (n)</w:t>
            </w:r>
            <w:r w:rsidRPr="00600FCC">
              <w:rPr>
                <w:rFonts w:ascii="Arial" w:eastAsia="Times New Roman" w:hAnsi="Arial" w:cs="Arial"/>
                <w:sz w:val="20"/>
                <w:szCs w:val="18"/>
                <w:vertAlign w:val="superscript"/>
              </w:rPr>
              <w:t>b</w:t>
            </w:r>
          </w:p>
        </w:tc>
        <w:tc>
          <w:tcPr>
            <w:tcW w:w="4022" w:type="dxa"/>
            <w:gridSpan w:val="2"/>
            <w:tcBorders>
              <w:top w:val="single" w:sz="12" w:space="0" w:color="auto"/>
              <w:left w:val="single" w:sz="12" w:space="0" w:color="auto"/>
              <w:bottom w:val="single" w:sz="4"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 xml:space="preserve">Bias (0.5*ignored interactions): </w:t>
            </w:r>
          </w:p>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mean (range across scenarios)</w:t>
            </w:r>
            <w:r w:rsidRPr="00600FCC">
              <w:rPr>
                <w:rFonts w:ascii="Arial" w:eastAsia="Times New Roman" w:hAnsi="Arial" w:cs="Arial"/>
                <w:sz w:val="20"/>
                <w:szCs w:val="18"/>
                <w:vertAlign w:val="superscript"/>
              </w:rPr>
              <w:t>c</w:t>
            </w:r>
          </w:p>
        </w:tc>
      </w:tr>
      <w:tr w:rsidR="0071252D" w:rsidRPr="00600FCC" w:rsidTr="00A12CBE">
        <w:trPr>
          <w:trHeight w:val="20"/>
          <w:tblHeader/>
        </w:trPr>
        <w:tc>
          <w:tcPr>
            <w:tcW w:w="0" w:type="auto"/>
            <w:vMerge/>
            <w:tcBorders>
              <w:top w:val="single" w:sz="12" w:space="0" w:color="auto"/>
              <w:left w:val="single" w:sz="12" w:space="0" w:color="auto"/>
              <w:bottom w:val="single" w:sz="12" w:space="0" w:color="auto"/>
              <w:right w:val="single" w:sz="12" w:space="0" w:color="auto"/>
            </w:tcBorders>
            <w:vAlign w:val="center"/>
            <w:hideMark/>
          </w:tcPr>
          <w:p w:rsidR="0071252D" w:rsidRPr="00600FCC" w:rsidRDefault="0071252D" w:rsidP="00A12CBE">
            <w:pPr>
              <w:spacing w:after="0" w:line="240" w:lineRule="auto"/>
              <w:rPr>
                <w:rFonts w:ascii="Arial" w:eastAsia="Times New Roman" w:hAnsi="Arial" w:cs="Arial"/>
                <w:b/>
                <w:bCs/>
                <w:sz w:val="20"/>
                <w:szCs w:val="20"/>
                <w:lang w:eastAsia="en-GB"/>
              </w:rPr>
            </w:pPr>
          </w:p>
        </w:tc>
        <w:tc>
          <w:tcPr>
            <w:tcW w:w="1824" w:type="dxa"/>
            <w:tcBorders>
              <w:top w:val="single" w:sz="4" w:space="0" w:color="auto"/>
              <w:left w:val="single" w:sz="12" w:space="0" w:color="auto"/>
              <w:bottom w:val="single" w:sz="12" w:space="0" w:color="auto"/>
              <w:right w:val="single" w:sz="4"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Cost</w:t>
            </w:r>
          </w:p>
        </w:tc>
        <w:tc>
          <w:tcPr>
            <w:tcW w:w="1824" w:type="dxa"/>
            <w:tcBorders>
              <w:top w:val="single" w:sz="4" w:space="0" w:color="auto"/>
              <w:left w:val="single" w:sz="4" w:space="0" w:color="auto"/>
              <w:bottom w:val="single" w:sz="12"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Benefit</w:t>
            </w:r>
          </w:p>
        </w:tc>
        <w:tc>
          <w:tcPr>
            <w:tcW w:w="1824" w:type="dxa"/>
            <w:tcBorders>
              <w:top w:val="single" w:sz="4" w:space="0" w:color="auto"/>
              <w:left w:val="single" w:sz="12" w:space="0" w:color="auto"/>
              <w:bottom w:val="single" w:sz="12" w:space="0" w:color="auto"/>
              <w:right w:val="single" w:sz="4"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Cost</w:t>
            </w:r>
          </w:p>
        </w:tc>
        <w:tc>
          <w:tcPr>
            <w:tcW w:w="1824" w:type="dxa"/>
            <w:tcBorders>
              <w:top w:val="single" w:sz="4" w:space="0" w:color="auto"/>
              <w:left w:val="single" w:sz="4" w:space="0" w:color="auto"/>
              <w:bottom w:val="single" w:sz="12"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Benefit</w:t>
            </w:r>
          </w:p>
        </w:tc>
        <w:tc>
          <w:tcPr>
            <w:tcW w:w="2198" w:type="dxa"/>
            <w:tcBorders>
              <w:top w:val="single" w:sz="4" w:space="0" w:color="auto"/>
              <w:left w:val="single" w:sz="12" w:space="0" w:color="auto"/>
              <w:bottom w:val="single" w:sz="12" w:space="0" w:color="auto"/>
              <w:right w:val="single" w:sz="4"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Cost</w:t>
            </w:r>
          </w:p>
        </w:tc>
        <w:tc>
          <w:tcPr>
            <w:tcW w:w="1824" w:type="dxa"/>
            <w:tcBorders>
              <w:top w:val="single" w:sz="4" w:space="0" w:color="auto"/>
              <w:left w:val="single" w:sz="4" w:space="0" w:color="auto"/>
              <w:bottom w:val="single" w:sz="12" w:space="0" w:color="auto"/>
              <w:right w:val="single" w:sz="12" w:space="0" w:color="auto"/>
            </w:tcBorders>
            <w:hideMark/>
          </w:tcPr>
          <w:p w:rsidR="0071252D" w:rsidRPr="00600FCC"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600FCC">
              <w:rPr>
                <w:rFonts w:ascii="Arial" w:eastAsia="Times New Roman" w:hAnsi="Arial" w:cs="Arial"/>
                <w:b/>
                <w:bCs/>
                <w:sz w:val="20"/>
                <w:szCs w:val="20"/>
                <w:lang w:eastAsia="en-GB"/>
              </w:rPr>
              <w:t>Benefit</w:t>
            </w:r>
          </w:p>
        </w:tc>
      </w:tr>
      <w:tr w:rsidR="0071252D" w:rsidRPr="00600FCC" w:rsidTr="00A12CBE">
        <w:trPr>
          <w:trHeight w:val="20"/>
        </w:trPr>
        <w:tc>
          <w:tcPr>
            <w:tcW w:w="3687" w:type="dxa"/>
            <w:tcBorders>
              <w:top w:val="single" w:sz="12"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 Always include all interactions</w:t>
            </w:r>
          </w:p>
        </w:tc>
        <w:tc>
          <w:tcPr>
            <w:tcW w:w="1824" w:type="dxa"/>
            <w:tcBorders>
              <w:top w:val="single" w:sz="12"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95.15% (20,553)</w:t>
            </w:r>
          </w:p>
        </w:tc>
        <w:tc>
          <w:tcPr>
            <w:tcW w:w="1824" w:type="dxa"/>
            <w:tcBorders>
              <w:top w:val="single" w:sz="12"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94.56% (20,424)</w:t>
            </w:r>
          </w:p>
        </w:tc>
        <w:tc>
          <w:tcPr>
            <w:tcW w:w="1824" w:type="dxa"/>
            <w:tcBorders>
              <w:top w:val="single" w:sz="12"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67.93% (14,673)</w:t>
            </w:r>
          </w:p>
        </w:tc>
        <w:tc>
          <w:tcPr>
            <w:tcW w:w="1824" w:type="dxa"/>
            <w:tcBorders>
              <w:top w:val="single" w:sz="12"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43.95% (9,494)</w:t>
            </w:r>
          </w:p>
        </w:tc>
        <w:tc>
          <w:tcPr>
            <w:tcW w:w="2198" w:type="dxa"/>
            <w:tcBorders>
              <w:top w:val="single" w:sz="12"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£0 (£0, £0)</w:t>
            </w:r>
          </w:p>
        </w:tc>
        <w:tc>
          <w:tcPr>
            <w:tcW w:w="1824" w:type="dxa"/>
            <w:tcBorders>
              <w:top w:val="single" w:sz="12"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0.00 (0.00, 0.00)</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2: Never include any interactions</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57.70% (12,464)</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85.51% (18,470)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76.09% (16,436)</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55.09% (11,900)</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£770 (£0, £10,870)</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0.15 (0.00, 2.04)</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3: Include interactions where p&lt;0.05</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89.60% (19,353)</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87.89% (18,985)</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71.78% (15,504)</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54.42% (11,755)</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£346 (£0, £3,587)</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0.10 (0.00, 1.11)</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4: Include interactions where p&lt;0.10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91.02% (19,661)</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88.97% (19,218)</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71.31% (15,404)</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53.20% (11,491)</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£256 (£0, £2,808)</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0.08 (0.00, 0.78)</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5: Include interactions where p&lt;0.25</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93.23% (20,138)</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91.45% (19,753)</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70.06% (15,133)</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49.93% (10,784)</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£123 (£0, £1,522)</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0.04 (0.00, 0.38)</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6:Include interactions decreasing AIC</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90.49% (19,546)</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88.51% (19,119)</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71.66% (15,478)</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53.82% (11,626)</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£302 (£0, £3,189)</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0.09 (0.00, 0.90)</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7: Include interactions decreasing BIC</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83.92% (18,127)</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86.30% (18,640)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71.94% (15,540)</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55.28% (11,941)</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£525 (£0, £6,377)</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0.13 (0.00, 1.54)</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8: Include qualitative interactions in cost or benefits</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72.87% (15,739)</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89.08% (19,242)</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77.66% (16,775)</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54.77% (11,830)</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£227 (£0, £2,935)</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0.04 (0.00, 0.32)</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9: Include interactions for cost or benefits if &gt;simple effect</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84.92% (18,343)</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90.89% (19,632)</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70.03% (15,127)</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50.91% (10,997)</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£108 (£0, £1,214)</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0.04 (0.00, 0.30)</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10: Include interactions for cost or benefits if p&lt;0.05 or &gt;simple effect</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91.82% (19,833)</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91.02% (19,660)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69.95% (15,109)</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50.02% (10,805)</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£104 (£0, £1,196)</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0.04 (0.00, 0.30)</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 xml:space="preserve">11: Include qualitative interactions for cost, benefits or NMB </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76.69% (16,564)</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90.79% (19,611)</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75.60% (16,330)</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52.07% (11,248)</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£190 (£0, £2,935)</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0.03 (0.00, 0.21)</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12: Include interactions for cost, benefit or NMB if &gt;simple effect</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86.12% (18,602)</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92.12% (19,898)</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69.73% (15,061)</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49.15% (10,616)</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£89 (£0, £933)</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0.02 (0.00, 0.20)</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13: Include interactions ≥0.25 or ≥£250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76.05% (16,426)</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87.41% (18,880)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69.82% (15,082)</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54.81% (11,840)</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£24 (£0, £79)</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0.02 (0.00, 0.07)</w:t>
            </w:r>
          </w:p>
        </w:tc>
      </w:tr>
      <w:tr w:rsidR="0071252D" w:rsidRPr="00600FCC" w:rsidTr="00A12CBE">
        <w:trPr>
          <w:trHeight w:val="20"/>
        </w:trPr>
        <w:tc>
          <w:tcPr>
            <w:tcW w:w="3687" w:type="dxa"/>
            <w:tcBorders>
              <w:top w:val="single" w:sz="4" w:space="0" w:color="auto"/>
              <w:left w:val="single" w:sz="12" w:space="0" w:color="auto"/>
              <w:bottom w:val="single" w:sz="4"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14: Include interactions ≥0.5 or ≥£500</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68.18% (14,726)</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86.63% (18,711)</w:t>
            </w:r>
          </w:p>
        </w:tc>
        <w:tc>
          <w:tcPr>
            <w:tcW w:w="1824"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69.76% (15,069)</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b/>
                <w:bCs/>
                <w:color w:val="000000"/>
                <w:sz w:val="20"/>
                <w:szCs w:val="20"/>
              </w:rPr>
            </w:pPr>
            <w:r w:rsidRPr="00600FCC">
              <w:rPr>
                <w:rFonts w:ascii="Arial" w:hAnsi="Arial" w:cs="Arial"/>
                <w:b/>
                <w:bCs/>
                <w:color w:val="000000"/>
                <w:sz w:val="20"/>
                <w:szCs w:val="20"/>
              </w:rPr>
              <w:t>56.09% (12,116)</w:t>
            </w:r>
          </w:p>
        </w:tc>
        <w:tc>
          <w:tcPr>
            <w:tcW w:w="2198" w:type="dxa"/>
            <w:tcBorders>
              <w:top w:val="single" w:sz="4" w:space="0" w:color="auto"/>
              <w:left w:val="single" w:sz="12" w:space="0" w:color="auto"/>
              <w:bottom w:val="single" w:sz="4"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£46 (£0, £180)</w:t>
            </w:r>
          </w:p>
        </w:tc>
        <w:tc>
          <w:tcPr>
            <w:tcW w:w="1824" w:type="dxa"/>
            <w:tcBorders>
              <w:top w:val="single" w:sz="4" w:space="0" w:color="auto"/>
              <w:left w:val="single" w:sz="4" w:space="0" w:color="auto"/>
              <w:bottom w:val="single" w:sz="4"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0.03 (0.00, 0.13)</w:t>
            </w:r>
          </w:p>
        </w:tc>
      </w:tr>
      <w:tr w:rsidR="0071252D" w:rsidRPr="00600FCC" w:rsidTr="00A12CBE">
        <w:trPr>
          <w:trHeight w:val="20"/>
        </w:trPr>
        <w:tc>
          <w:tcPr>
            <w:tcW w:w="3687" w:type="dxa"/>
            <w:tcBorders>
              <w:top w:val="single" w:sz="4" w:space="0" w:color="auto"/>
              <w:left w:val="single" w:sz="12" w:space="0" w:color="auto"/>
              <w:bottom w:val="single" w:sz="12" w:space="0" w:color="auto"/>
              <w:right w:val="single" w:sz="12" w:space="0" w:color="auto"/>
            </w:tcBorders>
            <w:noWrap/>
            <w:vAlign w:val="center"/>
            <w:hideMark/>
          </w:tcPr>
          <w:p w:rsidR="0071252D" w:rsidRPr="00600FCC"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color w:val="000000"/>
                <w:sz w:val="20"/>
                <w:szCs w:val="20"/>
              </w:rPr>
            </w:pPr>
            <w:r w:rsidRPr="00600FCC">
              <w:rPr>
                <w:rFonts w:ascii="Arial" w:eastAsia="Times New Roman" w:hAnsi="Arial" w:cs="Arial"/>
                <w:color w:val="000000"/>
                <w:sz w:val="20"/>
                <w:szCs w:val="20"/>
              </w:rPr>
              <w:t>15: Include interactions ≥1 or ≥£1,000</w:t>
            </w:r>
          </w:p>
        </w:tc>
        <w:tc>
          <w:tcPr>
            <w:tcW w:w="1824" w:type="dxa"/>
            <w:tcBorders>
              <w:top w:val="single" w:sz="4" w:space="0" w:color="auto"/>
              <w:left w:val="single" w:sz="12" w:space="0" w:color="auto"/>
              <w:bottom w:val="single" w:sz="12"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64.06% (13,836)</w:t>
            </w:r>
          </w:p>
        </w:tc>
        <w:tc>
          <w:tcPr>
            <w:tcW w:w="1824" w:type="dxa"/>
            <w:tcBorders>
              <w:top w:val="single" w:sz="4" w:space="0" w:color="auto"/>
              <w:left w:val="single" w:sz="4" w:space="0" w:color="auto"/>
              <w:bottom w:val="single" w:sz="12"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86.50% (18,684)</w:t>
            </w:r>
          </w:p>
        </w:tc>
        <w:tc>
          <w:tcPr>
            <w:tcW w:w="1824" w:type="dxa"/>
            <w:tcBorders>
              <w:top w:val="single" w:sz="4" w:space="0" w:color="auto"/>
              <w:left w:val="single" w:sz="12" w:space="0" w:color="auto"/>
              <w:bottom w:val="single" w:sz="12"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71.44% (15,431)</w:t>
            </w:r>
          </w:p>
        </w:tc>
        <w:tc>
          <w:tcPr>
            <w:tcW w:w="1824" w:type="dxa"/>
            <w:tcBorders>
              <w:top w:val="single" w:sz="4" w:space="0" w:color="auto"/>
              <w:left w:val="single" w:sz="4" w:space="0" w:color="auto"/>
              <w:bottom w:val="single" w:sz="12"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55.93% (12,080)</w:t>
            </w:r>
          </w:p>
        </w:tc>
        <w:tc>
          <w:tcPr>
            <w:tcW w:w="2198" w:type="dxa"/>
            <w:tcBorders>
              <w:top w:val="single" w:sz="4" w:space="0" w:color="auto"/>
              <w:left w:val="single" w:sz="12" w:space="0" w:color="auto"/>
              <w:bottom w:val="single" w:sz="12" w:space="0" w:color="auto"/>
              <w:right w:val="single" w:sz="4"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£74 (£0, £303)</w:t>
            </w:r>
          </w:p>
        </w:tc>
        <w:tc>
          <w:tcPr>
            <w:tcW w:w="1824" w:type="dxa"/>
            <w:tcBorders>
              <w:top w:val="single" w:sz="4" w:space="0" w:color="auto"/>
              <w:left w:val="single" w:sz="4" w:space="0" w:color="auto"/>
              <w:bottom w:val="single" w:sz="12" w:space="0" w:color="auto"/>
              <w:right w:val="single" w:sz="12" w:space="0" w:color="auto"/>
            </w:tcBorders>
            <w:vAlign w:val="center"/>
            <w:hideMark/>
          </w:tcPr>
          <w:p w:rsidR="0071252D" w:rsidRPr="00600FCC" w:rsidRDefault="0071252D" w:rsidP="00A12CBE">
            <w:pPr>
              <w:spacing w:after="0" w:line="240" w:lineRule="auto"/>
              <w:jc w:val="center"/>
              <w:rPr>
                <w:rFonts w:ascii="Arial" w:hAnsi="Arial" w:cs="Arial"/>
                <w:color w:val="000000"/>
                <w:sz w:val="20"/>
                <w:szCs w:val="20"/>
              </w:rPr>
            </w:pPr>
            <w:r w:rsidRPr="00600FCC">
              <w:rPr>
                <w:rFonts w:ascii="Arial" w:hAnsi="Arial" w:cs="Arial"/>
                <w:color w:val="000000"/>
                <w:sz w:val="20"/>
                <w:szCs w:val="20"/>
              </w:rPr>
              <w:t>0.04 (0.00, 0.23)</w:t>
            </w:r>
          </w:p>
        </w:tc>
      </w:tr>
    </w:tbl>
    <w:p w:rsidR="0071252D" w:rsidRPr="00600FCC"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proofErr w:type="gramStart"/>
      <w:r w:rsidRPr="00600FCC">
        <w:rPr>
          <w:rFonts w:ascii="Arial" w:eastAsia="Times New Roman" w:hAnsi="Arial" w:cs="Arial"/>
          <w:sz w:val="20"/>
          <w:szCs w:val="18"/>
          <w:vertAlign w:val="superscript"/>
        </w:rPr>
        <w:t>a</w:t>
      </w:r>
      <w:proofErr w:type="gramEnd"/>
      <w:r w:rsidRPr="00600FCC">
        <w:rPr>
          <w:rFonts w:ascii="Arial" w:eastAsia="Times New Roman" w:hAnsi="Arial" w:cs="Arial"/>
          <w:sz w:val="20"/>
          <w:szCs w:val="18"/>
        </w:rPr>
        <w:t xml:space="preserve"> Coverage = proportion of simulations in which the 95% CI around the effect of A or B from the mixed model favoured by any given criterion included the true simple effect value that was used to generate the simulated trials. Coverage is shown over the effects of A and B combined and is out of 32,400 (two treatment effects for each of 300 samples of 54 scenarios).</w:t>
      </w:r>
    </w:p>
    <w:p w:rsidR="0071252D" w:rsidRPr="00600FCC"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proofErr w:type="gramStart"/>
      <w:r w:rsidRPr="00600FCC">
        <w:rPr>
          <w:rFonts w:ascii="Arial" w:eastAsia="Times New Roman" w:hAnsi="Arial" w:cs="Arial"/>
          <w:sz w:val="20"/>
          <w:szCs w:val="18"/>
          <w:vertAlign w:val="superscript"/>
        </w:rPr>
        <w:t>b</w:t>
      </w:r>
      <w:proofErr w:type="gramEnd"/>
      <w:r w:rsidRPr="00600FCC">
        <w:rPr>
          <w:rFonts w:ascii="Arial" w:eastAsia="Times New Roman" w:hAnsi="Arial" w:cs="Arial"/>
          <w:sz w:val="20"/>
          <w:szCs w:val="18"/>
        </w:rPr>
        <w:t xml:space="preserve"> Power = proportion of simulations in which the coefficient of A (or B) in the analysis chosen by any given criterion is significantly different from zero (p&lt;0.05). Power is shown over the effects of A and B combined and is out of 32,400 (two treatment effects for each of 300 samples of 54 scenarios).</w:t>
      </w:r>
    </w:p>
    <w:p w:rsidR="0071252D"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r w:rsidRPr="00600FCC">
        <w:rPr>
          <w:rFonts w:ascii="Arial" w:eastAsia="Times New Roman" w:hAnsi="Arial" w:cs="Arial"/>
          <w:sz w:val="20"/>
          <w:szCs w:val="18"/>
          <w:vertAlign w:val="superscript"/>
        </w:rPr>
        <w:t>c</w:t>
      </w:r>
      <w:r w:rsidRPr="00600FCC">
        <w:rPr>
          <w:rFonts w:ascii="Arial" w:eastAsia="Times New Roman" w:hAnsi="Arial" w:cs="Arial"/>
          <w:sz w:val="20"/>
          <w:szCs w:val="18"/>
        </w:rPr>
        <w:t xml:space="preserve"> Average bias within the incremental costs [benefits] = the proportion of samples in which the analysis ignored interactions that were not truly zero, multiplied by 50% of the absolute true interaction term within those scenarios. For example, if the true interaction were £200 and criterion X allowed for the interaction in 40% of samples</w:t>
      </w:r>
      <w:proofErr w:type="gramStart"/>
      <w:r w:rsidRPr="00600FCC">
        <w:rPr>
          <w:rFonts w:ascii="Arial" w:eastAsia="Times New Roman" w:hAnsi="Arial" w:cs="Arial"/>
          <w:sz w:val="20"/>
          <w:szCs w:val="18"/>
        </w:rPr>
        <w:t xml:space="preserve">, </w:t>
      </w:r>
      <w:proofErr w:type="gramEnd"/>
      <w:r w:rsidRPr="00600FCC">
        <w:rPr>
          <w:rFonts w:ascii="Arial" w:eastAsia="Times New Roman" w:hAnsi="Arial" w:cs="Arial"/>
          <w:position w:val="-14"/>
          <w:sz w:val="20"/>
          <w:szCs w:val="18"/>
        </w:rPr>
        <w:object w:dxaOrig="3045" w:dyaOrig="420">
          <v:shape id="_x0000_i1030" type="#_x0000_t75" style="width:152.25pt;height:21pt" o:ole="">
            <v:imagedata r:id="rId16" o:title=""/>
          </v:shape>
          <o:OLEObject Type="Embed" ProgID="Equation.3" ShapeID="_x0000_i1030" DrawAspect="Content" ObjectID="_1627752595" r:id="rId18"/>
        </w:object>
      </w:r>
      <w:r w:rsidRPr="00600FCC">
        <w:rPr>
          <w:rFonts w:ascii="Arial" w:eastAsia="Times New Roman" w:hAnsi="Arial" w:cs="Arial"/>
          <w:sz w:val="20"/>
          <w:szCs w:val="18"/>
        </w:rPr>
        <w:t>.</w:t>
      </w:r>
    </w:p>
    <w:p w:rsidR="0071252D" w:rsidRDefault="0071252D" w:rsidP="0071252D">
      <w:pPr>
        <w:rPr>
          <w:rFonts w:ascii="Arial" w:eastAsia="Times New Roman" w:hAnsi="Arial" w:cs="Arial"/>
          <w:b/>
          <w:sz w:val="20"/>
          <w:highlight w:val="cyan"/>
        </w:rPr>
      </w:pPr>
      <w:r>
        <w:rPr>
          <w:rFonts w:ascii="Arial" w:eastAsia="Times New Roman" w:hAnsi="Arial" w:cs="Arial"/>
          <w:b/>
          <w:sz w:val="20"/>
          <w:highlight w:val="cyan"/>
        </w:rPr>
        <w:br w:type="page"/>
      </w:r>
    </w:p>
    <w:p w:rsidR="0071252D" w:rsidRPr="00A9680A"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rPr>
      </w:pPr>
      <w:r w:rsidRPr="00A9680A">
        <w:rPr>
          <w:rFonts w:ascii="Arial" w:eastAsia="Times New Roman" w:hAnsi="Arial" w:cs="Arial"/>
          <w:b/>
          <w:sz w:val="20"/>
        </w:rPr>
        <w:lastRenderedPageBreak/>
        <w:t>Table 4.4</w:t>
      </w:r>
      <w:r w:rsidRPr="00A9680A">
        <w:rPr>
          <w:rFonts w:ascii="Arial" w:eastAsia="Times New Roman" w:hAnsi="Arial" w:cs="Arial"/>
          <w:sz w:val="20"/>
        </w:rPr>
        <w:t xml:space="preserve"> Comparison of performance of the different criteria with regards specificity and sensitivity to detect interactions. The values shown in bold represent the most favourable of all criteria for this measure</w:t>
      </w:r>
    </w:p>
    <w:tbl>
      <w:tblPr>
        <w:tblW w:w="1460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1819"/>
        <w:gridCol w:w="1819"/>
        <w:gridCol w:w="1819"/>
        <w:gridCol w:w="1819"/>
        <w:gridCol w:w="1819"/>
        <w:gridCol w:w="1819"/>
      </w:tblGrid>
      <w:tr w:rsidR="0071252D" w:rsidRPr="00A9680A" w:rsidTr="00A12CBE">
        <w:trPr>
          <w:trHeight w:val="230"/>
          <w:tblHeader/>
        </w:trPr>
        <w:tc>
          <w:tcPr>
            <w:tcW w:w="3686" w:type="dxa"/>
            <w:vMerge w:val="restart"/>
            <w:tcBorders>
              <w:top w:val="single" w:sz="12" w:space="0" w:color="auto"/>
              <w:left w:val="single" w:sz="12" w:space="0" w:color="auto"/>
              <w:bottom w:val="single" w:sz="12" w:space="0" w:color="auto"/>
              <w:right w:val="single" w:sz="12" w:space="0" w:color="auto"/>
            </w:tcBorders>
            <w:noWrap/>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Criterion</w:t>
            </w:r>
          </w:p>
        </w:tc>
        <w:tc>
          <w:tcPr>
            <w:tcW w:w="3638" w:type="dxa"/>
            <w:gridSpan w:val="2"/>
            <w:tcBorders>
              <w:top w:val="single" w:sz="12" w:space="0" w:color="auto"/>
              <w:left w:val="single" w:sz="12" w:space="0" w:color="auto"/>
              <w:bottom w:val="single" w:sz="4"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Proportion of samples in which interactions are included: % (n)</w:t>
            </w:r>
            <w:r w:rsidRPr="00A9680A">
              <w:rPr>
                <w:rFonts w:ascii="Arial" w:eastAsia="Times New Roman" w:hAnsi="Arial" w:cs="Arial"/>
                <w:b/>
                <w:bCs/>
                <w:sz w:val="20"/>
                <w:szCs w:val="20"/>
                <w:vertAlign w:val="superscript"/>
                <w:lang w:eastAsia="en-GB"/>
              </w:rPr>
              <w:t>a</w:t>
            </w:r>
          </w:p>
        </w:tc>
        <w:tc>
          <w:tcPr>
            <w:tcW w:w="3638" w:type="dxa"/>
            <w:gridSpan w:val="2"/>
            <w:tcBorders>
              <w:top w:val="single" w:sz="12" w:space="0" w:color="auto"/>
              <w:left w:val="single" w:sz="12" w:space="0" w:color="auto"/>
              <w:bottom w:val="single" w:sz="4"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Sensitivity: proportion of any non-zero interactions taken into account: % (n)</w:t>
            </w:r>
            <w:r w:rsidRPr="00A9680A">
              <w:rPr>
                <w:rFonts w:ascii="Arial" w:eastAsia="Times New Roman" w:hAnsi="Arial" w:cs="Arial"/>
                <w:b/>
                <w:bCs/>
                <w:sz w:val="20"/>
                <w:szCs w:val="20"/>
                <w:vertAlign w:val="superscript"/>
                <w:lang w:eastAsia="en-GB"/>
              </w:rPr>
              <w:t>b</w:t>
            </w:r>
          </w:p>
        </w:tc>
        <w:tc>
          <w:tcPr>
            <w:tcW w:w="3638" w:type="dxa"/>
            <w:gridSpan w:val="2"/>
            <w:tcBorders>
              <w:top w:val="single" w:sz="12" w:space="0" w:color="auto"/>
              <w:left w:val="single" w:sz="12" w:space="0" w:color="auto"/>
              <w:bottom w:val="single" w:sz="4"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Specificity: proportion of interactions equal to 0 that are excluded: % (n)</w:t>
            </w:r>
            <w:r w:rsidRPr="00A9680A">
              <w:rPr>
                <w:rFonts w:ascii="Arial" w:eastAsia="Times New Roman" w:hAnsi="Arial" w:cs="Arial"/>
                <w:b/>
                <w:bCs/>
                <w:sz w:val="20"/>
                <w:szCs w:val="20"/>
                <w:vertAlign w:val="superscript"/>
                <w:lang w:eastAsia="en-GB"/>
              </w:rPr>
              <w:t>c</w:t>
            </w:r>
          </w:p>
        </w:tc>
      </w:tr>
      <w:tr w:rsidR="0071252D" w:rsidRPr="00A9680A" w:rsidTr="00A12CBE">
        <w:trPr>
          <w:trHeight w:val="230"/>
          <w:tblHeader/>
        </w:trPr>
        <w:tc>
          <w:tcPr>
            <w:tcW w:w="0" w:type="auto"/>
            <w:vMerge/>
            <w:tcBorders>
              <w:top w:val="single" w:sz="12" w:space="0" w:color="auto"/>
              <w:left w:val="single" w:sz="12" w:space="0" w:color="auto"/>
              <w:bottom w:val="single" w:sz="12" w:space="0" w:color="auto"/>
              <w:right w:val="single" w:sz="12" w:space="0" w:color="auto"/>
            </w:tcBorders>
            <w:vAlign w:val="center"/>
            <w:hideMark/>
          </w:tcPr>
          <w:p w:rsidR="0071252D" w:rsidRPr="00A9680A" w:rsidRDefault="0071252D" w:rsidP="00A12CBE">
            <w:pPr>
              <w:spacing w:after="0" w:line="240" w:lineRule="auto"/>
              <w:rPr>
                <w:rFonts w:ascii="Arial" w:eastAsia="Times New Roman" w:hAnsi="Arial" w:cs="Arial"/>
                <w:b/>
                <w:bCs/>
                <w:sz w:val="20"/>
                <w:szCs w:val="20"/>
                <w:lang w:eastAsia="en-GB"/>
              </w:rPr>
            </w:pPr>
          </w:p>
        </w:tc>
        <w:tc>
          <w:tcPr>
            <w:tcW w:w="1819" w:type="dxa"/>
            <w:tcBorders>
              <w:top w:val="single" w:sz="4" w:space="0" w:color="auto"/>
              <w:left w:val="single" w:sz="12" w:space="0" w:color="auto"/>
              <w:bottom w:val="single" w:sz="12" w:space="0" w:color="auto"/>
              <w:right w:val="single" w:sz="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Cost</w:t>
            </w:r>
          </w:p>
        </w:tc>
        <w:tc>
          <w:tcPr>
            <w:tcW w:w="1819" w:type="dxa"/>
            <w:tcBorders>
              <w:top w:val="single" w:sz="4" w:space="0" w:color="auto"/>
              <w:left w:val="single" w:sz="2"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Benefit</w:t>
            </w:r>
          </w:p>
        </w:tc>
        <w:tc>
          <w:tcPr>
            <w:tcW w:w="1819" w:type="dxa"/>
            <w:tcBorders>
              <w:top w:val="single" w:sz="4" w:space="0" w:color="auto"/>
              <w:left w:val="single" w:sz="12"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Cost</w:t>
            </w:r>
          </w:p>
        </w:tc>
        <w:tc>
          <w:tcPr>
            <w:tcW w:w="1819" w:type="dxa"/>
            <w:tcBorders>
              <w:top w:val="single" w:sz="4" w:space="0" w:color="auto"/>
              <w:left w:val="single" w:sz="4" w:space="0" w:color="auto"/>
              <w:bottom w:val="single" w:sz="12"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Benefit</w:t>
            </w:r>
          </w:p>
        </w:tc>
        <w:tc>
          <w:tcPr>
            <w:tcW w:w="1819" w:type="dxa"/>
            <w:tcBorders>
              <w:top w:val="single" w:sz="4" w:space="0" w:color="auto"/>
              <w:left w:val="single" w:sz="12"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Cost</w:t>
            </w:r>
          </w:p>
        </w:tc>
        <w:tc>
          <w:tcPr>
            <w:tcW w:w="1819" w:type="dxa"/>
            <w:tcBorders>
              <w:top w:val="single" w:sz="4" w:space="0" w:color="auto"/>
              <w:left w:val="single" w:sz="4" w:space="0" w:color="auto"/>
              <w:bottom w:val="single" w:sz="12"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Benefit</w:t>
            </w:r>
          </w:p>
        </w:tc>
      </w:tr>
      <w:tr w:rsidR="0071252D" w:rsidRPr="00A9680A" w:rsidTr="00A12CBE">
        <w:trPr>
          <w:trHeight w:val="20"/>
        </w:trPr>
        <w:tc>
          <w:tcPr>
            <w:tcW w:w="3686" w:type="dxa"/>
            <w:tcBorders>
              <w:top w:val="single" w:sz="12"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 Always include all interactions</w:t>
            </w:r>
          </w:p>
        </w:tc>
        <w:tc>
          <w:tcPr>
            <w:tcW w:w="1819" w:type="dxa"/>
            <w:tcBorders>
              <w:top w:val="single" w:sz="12"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100.00% (10,800)</w:t>
            </w:r>
          </w:p>
        </w:tc>
        <w:tc>
          <w:tcPr>
            <w:tcW w:w="1819" w:type="dxa"/>
            <w:tcBorders>
              <w:top w:val="single" w:sz="12"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100.00% (10,800)</w:t>
            </w:r>
          </w:p>
        </w:tc>
        <w:tc>
          <w:tcPr>
            <w:tcW w:w="1819" w:type="dxa"/>
            <w:tcBorders>
              <w:top w:val="single" w:sz="12"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color w:val="000000"/>
                <w:sz w:val="20"/>
                <w:szCs w:val="20"/>
              </w:rPr>
            </w:pPr>
            <w:r w:rsidRPr="00A9680A">
              <w:rPr>
                <w:rFonts w:ascii="Arial" w:hAnsi="Arial" w:cs="Arial"/>
                <w:b/>
                <w:bCs/>
                <w:color w:val="000000"/>
                <w:sz w:val="20"/>
                <w:szCs w:val="20"/>
              </w:rPr>
              <w:t>100.00% (7,200)</w:t>
            </w:r>
          </w:p>
        </w:tc>
        <w:tc>
          <w:tcPr>
            <w:tcW w:w="1819" w:type="dxa"/>
            <w:tcBorders>
              <w:top w:val="single" w:sz="12"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color w:val="000000"/>
                <w:sz w:val="20"/>
                <w:szCs w:val="20"/>
              </w:rPr>
            </w:pPr>
            <w:r w:rsidRPr="00A9680A">
              <w:rPr>
                <w:rFonts w:ascii="Arial" w:hAnsi="Arial" w:cs="Arial"/>
                <w:b/>
                <w:bCs/>
                <w:color w:val="000000"/>
                <w:sz w:val="20"/>
                <w:szCs w:val="20"/>
              </w:rPr>
              <w:t>100.00% (7,200)</w:t>
            </w:r>
          </w:p>
        </w:tc>
        <w:tc>
          <w:tcPr>
            <w:tcW w:w="1819" w:type="dxa"/>
            <w:tcBorders>
              <w:top w:val="single" w:sz="12"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0.00% (0)</w:t>
            </w:r>
          </w:p>
        </w:tc>
        <w:tc>
          <w:tcPr>
            <w:tcW w:w="1819" w:type="dxa"/>
            <w:tcBorders>
              <w:top w:val="single" w:sz="12"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0.00% (0)</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2: Never include any interactions</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0.00% (0)</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0.00% (0)</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0.00% (0)</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0.00% (0)</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100.00% (3,600)</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100.00% (3,600)</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3: Include interactions where p&lt;0.05</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47.68% (5,149)</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21.20% (2,290)</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66.49% (4,787)</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26.69% (1,922)</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89.94% (3,238)</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89.78% (3,232)</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4: Include interactions where p&lt;0.10</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56.58% (6,111)</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33.13% (3,578)</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74.69% (5,378)</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39.04% (2,811)</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79.64% (2,867)</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78.69% (2,833)</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5: Include interactions where p&lt;0.25</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75.50% (8,154)</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61.40% (6,631)</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88.03% (6,338)</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66.33% (4,776)</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49.56% (1,784)</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48.47% (1,745)</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6:Include interactions decreasing AIC</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53.10% (5,735)</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28.38% (3,065)</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71.67% (5,160)</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34.15% (2,459)</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84.03% (3,025)</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83.17% (2,994)</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7: Include interactions decreasing BIC</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32.56% (3,517)</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7.02% (758)</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48.10% (3,463)</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9.65% (695)</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98.50% (3,546)</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98.25% (3,537)</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8: Include qualitative interactions in cost or benefits</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37.64% (4,065)</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46.40% (5,011)</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44.36% (3,194)</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50.72% (3,652)</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75.81% (2,729)</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62.25% (2,241)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9: Include interactions for cost or benefits if &gt;simple effect</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55.56% (6,001)</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56.51% (6,103)</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66.79% (4,809)</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60.75% (4,374)</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66.89% (2,408)</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51.97% (1,871)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10: Include interactions for cost or benefits if p&lt;0.05 or &gt;simple effect</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65.24% (7,046)</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58.31% (6,298)</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79.94% (5,756)</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62.90% (4,529)</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64.17% (2,310)</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50.86% (1,831)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 xml:space="preserve">11: Include qualitative interactions for cost, benefits or NMB </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49.65% (5,362)</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64.37% (6,952)</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54.83% (3,948)</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66.68% (4,801)</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60.72% (2,186)</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40.25% (1,449)</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12: Include interactions for cost, benefit or NMB if &gt;simple effect</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64.26% (6,940)</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71.44% (7,716)</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72.68% (5,233)</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74.11% (5,336)</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52.58% (1,893)</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33.89% (1,220)</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13: Include interactions ≥0.25 or ≥£250</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38.33% (4,140)</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25.50% (2,754)</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46.54% (3,351)</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27.50% (1,980)</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78.08% (2,811)</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78.50% (2,826)</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14: Include interactions ≥0.5 or ≥£500</w:t>
            </w:r>
          </w:p>
        </w:tc>
        <w:tc>
          <w:tcPr>
            <w:tcW w:w="1819" w:type="dxa"/>
            <w:tcBorders>
              <w:top w:val="single" w:sz="4" w:space="0" w:color="auto"/>
              <w:left w:val="single" w:sz="12" w:space="0" w:color="auto"/>
              <w:bottom w:val="single" w:sz="4"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27.00% (2,916)</w:t>
            </w:r>
          </w:p>
        </w:tc>
        <w:tc>
          <w:tcPr>
            <w:tcW w:w="1819" w:type="dxa"/>
            <w:tcBorders>
              <w:top w:val="single" w:sz="4" w:space="0" w:color="auto"/>
              <w:left w:val="single" w:sz="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16.46% (1,778)</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31.88% (2,295)</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17.50% (1,260)</w:t>
            </w:r>
          </w:p>
        </w:tc>
        <w:tc>
          <w:tcPr>
            <w:tcW w:w="1819"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82.75% (2,979)</w:t>
            </w:r>
          </w:p>
        </w:tc>
        <w:tc>
          <w:tcPr>
            <w:tcW w:w="181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85.61% (3,082)</w:t>
            </w:r>
          </w:p>
        </w:tc>
      </w:tr>
      <w:tr w:rsidR="0071252D" w:rsidRPr="00A9680A" w:rsidTr="00A12CBE">
        <w:trPr>
          <w:trHeight w:val="20"/>
        </w:trPr>
        <w:tc>
          <w:tcPr>
            <w:tcW w:w="3686" w:type="dxa"/>
            <w:tcBorders>
              <w:top w:val="single" w:sz="4" w:space="0" w:color="auto"/>
              <w:left w:val="single" w:sz="12" w:space="0" w:color="auto"/>
              <w:bottom w:val="single" w:sz="12"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15: Include interactions ≥1 or ≥£1,000</w:t>
            </w:r>
          </w:p>
        </w:tc>
        <w:tc>
          <w:tcPr>
            <w:tcW w:w="1819" w:type="dxa"/>
            <w:tcBorders>
              <w:top w:val="single" w:sz="4" w:space="0" w:color="auto"/>
              <w:left w:val="single" w:sz="12" w:space="0" w:color="auto"/>
              <w:bottom w:val="single" w:sz="12" w:space="0" w:color="auto"/>
              <w:right w:val="single" w:sz="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20.80% (2,246)</w:t>
            </w:r>
          </w:p>
        </w:tc>
        <w:tc>
          <w:tcPr>
            <w:tcW w:w="1819" w:type="dxa"/>
            <w:tcBorders>
              <w:top w:val="single" w:sz="4" w:space="0" w:color="auto"/>
              <w:left w:val="single" w:sz="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12.50% (1,350)</w:t>
            </w:r>
          </w:p>
        </w:tc>
        <w:tc>
          <w:tcPr>
            <w:tcW w:w="1819" w:type="dxa"/>
            <w:tcBorders>
              <w:top w:val="single" w:sz="4"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23.57% (1,697)</w:t>
            </w:r>
          </w:p>
        </w:tc>
        <w:tc>
          <w:tcPr>
            <w:tcW w:w="1819" w:type="dxa"/>
            <w:tcBorders>
              <w:top w:val="single" w:sz="4"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color w:val="000000"/>
                <w:sz w:val="20"/>
                <w:szCs w:val="20"/>
              </w:rPr>
            </w:pPr>
            <w:r w:rsidRPr="00A9680A">
              <w:rPr>
                <w:rFonts w:ascii="Arial" w:hAnsi="Arial" w:cs="Arial"/>
                <w:color w:val="000000"/>
                <w:sz w:val="20"/>
                <w:szCs w:val="20"/>
              </w:rPr>
              <w:t>13.46% (969)</w:t>
            </w:r>
          </w:p>
        </w:tc>
        <w:tc>
          <w:tcPr>
            <w:tcW w:w="1819" w:type="dxa"/>
            <w:tcBorders>
              <w:top w:val="single" w:sz="4"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84.75% (3,051)</w:t>
            </w:r>
          </w:p>
        </w:tc>
        <w:tc>
          <w:tcPr>
            <w:tcW w:w="1819" w:type="dxa"/>
            <w:tcBorders>
              <w:top w:val="single" w:sz="4"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89.42% (3,219)</w:t>
            </w:r>
          </w:p>
        </w:tc>
      </w:tr>
    </w:tbl>
    <w:p w:rsidR="0071252D" w:rsidRPr="00A9680A"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proofErr w:type="gramStart"/>
      <w:r w:rsidRPr="00A9680A">
        <w:rPr>
          <w:rFonts w:ascii="Arial" w:eastAsia="Times New Roman" w:hAnsi="Arial" w:cs="Arial"/>
          <w:sz w:val="20"/>
          <w:szCs w:val="18"/>
          <w:vertAlign w:val="superscript"/>
        </w:rPr>
        <w:t>a</w:t>
      </w:r>
      <w:proofErr w:type="gramEnd"/>
      <w:r w:rsidRPr="00A9680A">
        <w:rPr>
          <w:rFonts w:ascii="Arial" w:eastAsia="Times New Roman" w:hAnsi="Arial" w:cs="Arial"/>
          <w:sz w:val="20"/>
          <w:szCs w:val="18"/>
        </w:rPr>
        <w:t xml:space="preserve"> Percentages are out of 10,800 (300 samples of 6 trials, each with six scenarios).</w:t>
      </w:r>
    </w:p>
    <w:p w:rsidR="0071252D" w:rsidRPr="00A9680A"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proofErr w:type="gramStart"/>
      <w:r w:rsidRPr="00A9680A">
        <w:rPr>
          <w:rFonts w:ascii="Arial" w:eastAsia="Times New Roman" w:hAnsi="Arial" w:cs="Arial"/>
          <w:sz w:val="20"/>
          <w:szCs w:val="18"/>
          <w:vertAlign w:val="superscript"/>
        </w:rPr>
        <w:t>b</w:t>
      </w:r>
      <w:proofErr w:type="gramEnd"/>
      <w:r w:rsidRPr="00A9680A">
        <w:rPr>
          <w:rFonts w:ascii="Arial" w:eastAsia="Times New Roman" w:hAnsi="Arial" w:cs="Arial"/>
          <w:sz w:val="20"/>
          <w:szCs w:val="18"/>
        </w:rPr>
        <w:t xml:space="preserve"> Percentages are out of 7,200 (300 samples of 6 trials, each with four scenarios with non-zero interactions).</w:t>
      </w:r>
    </w:p>
    <w:p w:rsidR="0071252D" w:rsidRPr="002305A4"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szCs w:val="18"/>
        </w:rPr>
      </w:pPr>
      <w:proofErr w:type="gramStart"/>
      <w:r w:rsidRPr="00A9680A">
        <w:rPr>
          <w:rFonts w:ascii="Arial" w:eastAsia="Times New Roman" w:hAnsi="Arial" w:cs="Arial"/>
          <w:sz w:val="20"/>
          <w:szCs w:val="18"/>
          <w:vertAlign w:val="superscript"/>
        </w:rPr>
        <w:t>c</w:t>
      </w:r>
      <w:proofErr w:type="gramEnd"/>
      <w:r w:rsidRPr="00A9680A">
        <w:rPr>
          <w:rFonts w:ascii="Arial" w:eastAsia="Times New Roman" w:hAnsi="Arial" w:cs="Arial"/>
          <w:sz w:val="20"/>
          <w:szCs w:val="18"/>
        </w:rPr>
        <w:t xml:space="preserve"> Percentages are out of 5,400 (300 samples of 6 trials, each with two scenarios with zero interactions).</w:t>
      </w:r>
    </w:p>
    <w:p w:rsidR="0071252D" w:rsidRPr="00A9680A" w:rsidRDefault="0071252D" w:rsidP="0071252D">
      <w:pPr>
        <w:rPr>
          <w:rFonts w:ascii="Arial" w:hAnsi="Arial" w:cs="Arial"/>
          <w:b/>
          <w:sz w:val="20"/>
          <w:szCs w:val="20"/>
        </w:rPr>
      </w:pPr>
      <w:r>
        <w:br w:type="page"/>
      </w:r>
    </w:p>
    <w:p w:rsidR="0071252D" w:rsidRPr="002305A4" w:rsidRDefault="0071252D" w:rsidP="0071252D">
      <w:pPr>
        <w:tabs>
          <w:tab w:val="left" w:pos="567"/>
          <w:tab w:val="left" w:pos="1134"/>
          <w:tab w:val="left" w:pos="1701"/>
          <w:tab w:val="left" w:pos="5670"/>
          <w:tab w:val="right" w:pos="9072"/>
        </w:tabs>
        <w:spacing w:after="0" w:line="240" w:lineRule="auto"/>
        <w:rPr>
          <w:rFonts w:ascii="Arial" w:eastAsia="Times New Roman" w:hAnsi="Arial" w:cs="Arial"/>
          <w:sz w:val="20"/>
        </w:rPr>
      </w:pPr>
      <w:r w:rsidRPr="002305A4">
        <w:rPr>
          <w:rFonts w:ascii="Arial" w:eastAsia="Times New Roman" w:hAnsi="Arial" w:cs="Arial"/>
          <w:b/>
          <w:sz w:val="20"/>
        </w:rPr>
        <w:lastRenderedPageBreak/>
        <w:t xml:space="preserve">Table </w:t>
      </w:r>
      <w:r>
        <w:rPr>
          <w:rFonts w:ascii="Arial" w:eastAsia="Times New Roman" w:hAnsi="Arial" w:cs="Arial"/>
          <w:b/>
          <w:sz w:val="20"/>
        </w:rPr>
        <w:t>4.5</w:t>
      </w:r>
      <w:r w:rsidRPr="002305A4">
        <w:rPr>
          <w:rFonts w:ascii="Arial" w:eastAsia="Times New Roman" w:hAnsi="Arial" w:cs="Arial"/>
          <w:sz w:val="20"/>
        </w:rPr>
        <w:t xml:space="preserve"> Comparison of performance of the different criteria with regards the probability and the opportunity cost associated with adopting a treatment that does not have highest true NMB. The values shown in bold represent the most favourable of all criteria for this measure</w:t>
      </w:r>
    </w:p>
    <w:tbl>
      <w:tblPr>
        <w:tblW w:w="1523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1028"/>
        <w:gridCol w:w="1022"/>
        <w:gridCol w:w="1239"/>
        <w:gridCol w:w="1239"/>
        <w:gridCol w:w="1239"/>
        <w:gridCol w:w="1028"/>
        <w:gridCol w:w="939"/>
        <w:gridCol w:w="1239"/>
        <w:gridCol w:w="1333"/>
        <w:gridCol w:w="1239"/>
      </w:tblGrid>
      <w:tr w:rsidR="0071252D" w:rsidRPr="00A9680A" w:rsidTr="00A12CBE">
        <w:trPr>
          <w:trHeight w:val="230"/>
          <w:tblHeader/>
        </w:trPr>
        <w:tc>
          <w:tcPr>
            <w:tcW w:w="3686" w:type="dxa"/>
            <w:vMerge w:val="restart"/>
            <w:tcBorders>
              <w:top w:val="single" w:sz="12" w:space="0" w:color="auto"/>
              <w:left w:val="single" w:sz="12" w:space="0" w:color="auto"/>
              <w:bottom w:val="single" w:sz="12" w:space="0" w:color="auto"/>
              <w:right w:val="single" w:sz="12" w:space="0" w:color="auto"/>
            </w:tcBorders>
            <w:noWrap/>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Criterion</w:t>
            </w:r>
          </w:p>
        </w:tc>
        <w:tc>
          <w:tcPr>
            <w:tcW w:w="5767" w:type="dxa"/>
            <w:gridSpan w:val="5"/>
            <w:tcBorders>
              <w:top w:val="single" w:sz="12" w:space="0" w:color="auto"/>
              <w:left w:val="single" w:sz="12" w:space="0" w:color="auto"/>
              <w:bottom w:val="single" w:sz="4"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Opportunity cost of adopting a suboptimal treatment</w:t>
            </w:r>
          </w:p>
        </w:tc>
        <w:tc>
          <w:tcPr>
            <w:tcW w:w="5778" w:type="dxa"/>
            <w:gridSpan w:val="5"/>
            <w:tcBorders>
              <w:top w:val="single" w:sz="12" w:space="0" w:color="auto"/>
              <w:left w:val="single" w:sz="12" w:space="0" w:color="auto"/>
              <w:bottom w:val="single" w:sz="4"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Probability of adopting treatment with highest NMB</w:t>
            </w:r>
          </w:p>
        </w:tc>
      </w:tr>
      <w:tr w:rsidR="0071252D" w:rsidRPr="00A9680A" w:rsidTr="00A12CBE">
        <w:trPr>
          <w:trHeight w:val="230"/>
          <w:tblHeader/>
        </w:trPr>
        <w:tc>
          <w:tcPr>
            <w:tcW w:w="0" w:type="auto"/>
            <w:vMerge/>
            <w:tcBorders>
              <w:top w:val="single" w:sz="12" w:space="0" w:color="auto"/>
              <w:left w:val="single" w:sz="12" w:space="0" w:color="auto"/>
              <w:bottom w:val="single" w:sz="12" w:space="0" w:color="auto"/>
              <w:right w:val="single" w:sz="12" w:space="0" w:color="auto"/>
            </w:tcBorders>
            <w:vAlign w:val="center"/>
            <w:hideMark/>
          </w:tcPr>
          <w:p w:rsidR="0071252D" w:rsidRPr="00A9680A" w:rsidRDefault="0071252D" w:rsidP="00A12CBE">
            <w:pPr>
              <w:spacing w:after="0" w:line="240" w:lineRule="auto"/>
              <w:rPr>
                <w:rFonts w:ascii="Arial" w:eastAsia="Times New Roman" w:hAnsi="Arial" w:cs="Arial"/>
                <w:b/>
                <w:bCs/>
                <w:sz w:val="20"/>
                <w:szCs w:val="20"/>
                <w:lang w:eastAsia="en-GB"/>
              </w:rPr>
            </w:pPr>
          </w:p>
        </w:tc>
        <w:tc>
          <w:tcPr>
            <w:tcW w:w="1028" w:type="dxa"/>
            <w:tcBorders>
              <w:top w:val="single" w:sz="4" w:space="0" w:color="auto"/>
              <w:left w:val="single" w:sz="12"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All datasets</w:t>
            </w:r>
          </w:p>
        </w:tc>
        <w:tc>
          <w:tcPr>
            <w:tcW w:w="1022"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6 original studies only</w:t>
            </w:r>
          </w:p>
        </w:tc>
        <w:tc>
          <w:tcPr>
            <w:tcW w:w="1239"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Zero interaction</w:t>
            </w:r>
          </w:p>
        </w:tc>
        <w:tc>
          <w:tcPr>
            <w:tcW w:w="1239"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val="fr-FR" w:eastAsia="en-GB"/>
              </w:rPr>
            </w:pPr>
            <w:r w:rsidRPr="00A9680A">
              <w:rPr>
                <w:rFonts w:ascii="Arial" w:eastAsia="Times New Roman" w:hAnsi="Arial" w:cs="Arial"/>
                <w:b/>
                <w:bCs/>
                <w:sz w:val="20"/>
                <w:szCs w:val="20"/>
                <w:lang w:val="fr-FR" w:eastAsia="en-GB"/>
              </w:rPr>
              <w:t>Non-</w:t>
            </w:r>
            <w:proofErr w:type="spellStart"/>
            <w:r w:rsidRPr="00A9680A">
              <w:rPr>
                <w:rFonts w:ascii="Arial" w:eastAsia="Times New Roman" w:hAnsi="Arial" w:cs="Arial"/>
                <w:b/>
                <w:bCs/>
                <w:sz w:val="20"/>
                <w:szCs w:val="20"/>
                <w:lang w:val="fr-FR" w:eastAsia="en-GB"/>
              </w:rPr>
              <w:t>zero</w:t>
            </w:r>
            <w:proofErr w:type="spellEnd"/>
            <w:r w:rsidRPr="00A9680A">
              <w:rPr>
                <w:rFonts w:ascii="Arial" w:eastAsia="Times New Roman" w:hAnsi="Arial" w:cs="Arial"/>
                <w:b/>
                <w:bCs/>
                <w:sz w:val="20"/>
                <w:szCs w:val="20"/>
                <w:lang w:val="fr-FR" w:eastAsia="en-GB"/>
              </w:rPr>
              <w:t xml:space="preserve"> non-qualitative interaction</w:t>
            </w:r>
          </w:p>
        </w:tc>
        <w:tc>
          <w:tcPr>
            <w:tcW w:w="1239" w:type="dxa"/>
            <w:tcBorders>
              <w:top w:val="single" w:sz="4" w:space="0" w:color="auto"/>
              <w:left w:val="single" w:sz="4" w:space="0" w:color="auto"/>
              <w:bottom w:val="single" w:sz="12"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Qualitative interaction</w:t>
            </w:r>
          </w:p>
        </w:tc>
        <w:tc>
          <w:tcPr>
            <w:tcW w:w="1028" w:type="dxa"/>
            <w:tcBorders>
              <w:top w:val="single" w:sz="4" w:space="0" w:color="auto"/>
              <w:left w:val="single" w:sz="12"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All datasets</w:t>
            </w:r>
          </w:p>
        </w:tc>
        <w:tc>
          <w:tcPr>
            <w:tcW w:w="939"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6 original studies only</w:t>
            </w:r>
          </w:p>
        </w:tc>
        <w:tc>
          <w:tcPr>
            <w:tcW w:w="1239"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Zero interaction</w:t>
            </w:r>
          </w:p>
        </w:tc>
        <w:tc>
          <w:tcPr>
            <w:tcW w:w="1333" w:type="dxa"/>
            <w:tcBorders>
              <w:top w:val="single" w:sz="4" w:space="0" w:color="auto"/>
              <w:left w:val="single" w:sz="4" w:space="0" w:color="auto"/>
              <w:bottom w:val="single" w:sz="12" w:space="0" w:color="auto"/>
              <w:right w:val="single" w:sz="4"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val="fr-FR" w:eastAsia="en-GB"/>
              </w:rPr>
            </w:pPr>
            <w:r w:rsidRPr="00A9680A">
              <w:rPr>
                <w:rFonts w:ascii="Arial" w:eastAsia="Times New Roman" w:hAnsi="Arial" w:cs="Arial"/>
                <w:b/>
                <w:bCs/>
                <w:sz w:val="20"/>
                <w:szCs w:val="20"/>
                <w:lang w:val="fr-FR" w:eastAsia="en-GB"/>
              </w:rPr>
              <w:t>Non-</w:t>
            </w:r>
            <w:proofErr w:type="spellStart"/>
            <w:r w:rsidRPr="00A9680A">
              <w:rPr>
                <w:rFonts w:ascii="Arial" w:eastAsia="Times New Roman" w:hAnsi="Arial" w:cs="Arial"/>
                <w:b/>
                <w:bCs/>
                <w:sz w:val="20"/>
                <w:szCs w:val="20"/>
                <w:lang w:val="fr-FR" w:eastAsia="en-GB"/>
              </w:rPr>
              <w:t>zero</w:t>
            </w:r>
            <w:proofErr w:type="spellEnd"/>
            <w:r w:rsidRPr="00A9680A">
              <w:rPr>
                <w:rFonts w:ascii="Arial" w:eastAsia="Times New Roman" w:hAnsi="Arial" w:cs="Arial"/>
                <w:b/>
                <w:bCs/>
                <w:sz w:val="20"/>
                <w:szCs w:val="20"/>
                <w:lang w:val="fr-FR" w:eastAsia="en-GB"/>
              </w:rPr>
              <w:t xml:space="preserve"> non-qualitative interaction</w:t>
            </w:r>
          </w:p>
        </w:tc>
        <w:tc>
          <w:tcPr>
            <w:tcW w:w="1239" w:type="dxa"/>
            <w:tcBorders>
              <w:top w:val="single" w:sz="4" w:space="0" w:color="auto"/>
              <w:left w:val="single" w:sz="4" w:space="0" w:color="auto"/>
              <w:bottom w:val="single" w:sz="12" w:space="0" w:color="auto"/>
              <w:right w:val="single" w:sz="12" w:space="0" w:color="auto"/>
            </w:tcBorders>
            <w:hideMark/>
          </w:tcPr>
          <w:p w:rsidR="0071252D" w:rsidRPr="00A9680A" w:rsidRDefault="0071252D" w:rsidP="00A12CBE">
            <w:pPr>
              <w:tabs>
                <w:tab w:val="left" w:pos="567"/>
                <w:tab w:val="left" w:pos="1134"/>
                <w:tab w:val="left" w:pos="1701"/>
                <w:tab w:val="left" w:pos="5670"/>
                <w:tab w:val="right" w:pos="9072"/>
              </w:tabs>
              <w:spacing w:after="0" w:line="240" w:lineRule="auto"/>
              <w:jc w:val="center"/>
              <w:rPr>
                <w:rFonts w:ascii="Arial" w:eastAsia="Times New Roman" w:hAnsi="Arial" w:cs="Arial"/>
                <w:b/>
                <w:bCs/>
                <w:sz w:val="20"/>
                <w:szCs w:val="20"/>
                <w:lang w:eastAsia="en-GB"/>
              </w:rPr>
            </w:pPr>
            <w:r w:rsidRPr="00A9680A">
              <w:rPr>
                <w:rFonts w:ascii="Arial" w:eastAsia="Times New Roman" w:hAnsi="Arial" w:cs="Arial"/>
                <w:b/>
                <w:bCs/>
                <w:sz w:val="20"/>
                <w:szCs w:val="20"/>
                <w:lang w:eastAsia="en-GB"/>
              </w:rPr>
              <w:t>Qualitative interaction</w:t>
            </w:r>
          </w:p>
        </w:tc>
      </w:tr>
      <w:tr w:rsidR="0071252D" w:rsidRPr="00A9680A" w:rsidTr="00A12CBE">
        <w:trPr>
          <w:trHeight w:val="20"/>
        </w:trPr>
        <w:tc>
          <w:tcPr>
            <w:tcW w:w="3686" w:type="dxa"/>
            <w:tcBorders>
              <w:top w:val="single" w:sz="12" w:space="0" w:color="auto"/>
              <w:left w:val="single" w:sz="12" w:space="0" w:color="auto"/>
              <w:bottom w:val="single" w:sz="12"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Number of datasets included</w:t>
            </w:r>
          </w:p>
        </w:tc>
        <w:tc>
          <w:tcPr>
            <w:tcW w:w="1028" w:type="dxa"/>
            <w:tcBorders>
              <w:top w:val="single" w:sz="12"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36</w:t>
            </w:r>
          </w:p>
        </w:tc>
        <w:tc>
          <w:tcPr>
            <w:tcW w:w="1022"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6</w:t>
            </w:r>
          </w:p>
        </w:tc>
        <w:tc>
          <w:tcPr>
            <w:tcW w:w="1239"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12</w:t>
            </w:r>
          </w:p>
        </w:tc>
        <w:tc>
          <w:tcPr>
            <w:tcW w:w="1239"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11</w:t>
            </w:r>
          </w:p>
        </w:tc>
        <w:tc>
          <w:tcPr>
            <w:tcW w:w="1239" w:type="dxa"/>
            <w:tcBorders>
              <w:top w:val="single" w:sz="12"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13</w:t>
            </w:r>
          </w:p>
        </w:tc>
        <w:tc>
          <w:tcPr>
            <w:tcW w:w="1028" w:type="dxa"/>
            <w:tcBorders>
              <w:top w:val="single" w:sz="12"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36</w:t>
            </w:r>
          </w:p>
        </w:tc>
        <w:tc>
          <w:tcPr>
            <w:tcW w:w="939"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6</w:t>
            </w:r>
          </w:p>
        </w:tc>
        <w:tc>
          <w:tcPr>
            <w:tcW w:w="1239"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12</w:t>
            </w:r>
          </w:p>
        </w:tc>
        <w:tc>
          <w:tcPr>
            <w:tcW w:w="1333" w:type="dxa"/>
            <w:tcBorders>
              <w:top w:val="single" w:sz="12"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11</w:t>
            </w:r>
          </w:p>
        </w:tc>
        <w:tc>
          <w:tcPr>
            <w:tcW w:w="1239" w:type="dxa"/>
            <w:tcBorders>
              <w:top w:val="single" w:sz="12"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13</w:t>
            </w:r>
          </w:p>
        </w:tc>
      </w:tr>
      <w:tr w:rsidR="0071252D" w:rsidRPr="00A9680A" w:rsidTr="00A12CBE">
        <w:trPr>
          <w:trHeight w:val="20"/>
        </w:trPr>
        <w:tc>
          <w:tcPr>
            <w:tcW w:w="3686" w:type="dxa"/>
            <w:tcBorders>
              <w:top w:val="single" w:sz="12"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 Always include all interactions</w:t>
            </w:r>
          </w:p>
        </w:tc>
        <w:tc>
          <w:tcPr>
            <w:tcW w:w="1028" w:type="dxa"/>
            <w:tcBorders>
              <w:top w:val="single" w:sz="12"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£472</w:t>
            </w:r>
          </w:p>
        </w:tc>
        <w:tc>
          <w:tcPr>
            <w:tcW w:w="1022"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£594</w:t>
            </w:r>
          </w:p>
        </w:tc>
        <w:tc>
          <w:tcPr>
            <w:tcW w:w="1239"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£544</w:t>
            </w:r>
          </w:p>
        </w:tc>
        <w:tc>
          <w:tcPr>
            <w:tcW w:w="1239"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£157</w:t>
            </w:r>
          </w:p>
        </w:tc>
        <w:tc>
          <w:tcPr>
            <w:tcW w:w="1239" w:type="dxa"/>
            <w:tcBorders>
              <w:top w:val="single" w:sz="12"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£672</w:t>
            </w:r>
          </w:p>
        </w:tc>
        <w:tc>
          <w:tcPr>
            <w:tcW w:w="1028" w:type="dxa"/>
            <w:tcBorders>
              <w:top w:val="single" w:sz="12"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81.70%</w:t>
            </w:r>
          </w:p>
        </w:tc>
        <w:tc>
          <w:tcPr>
            <w:tcW w:w="939"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80.83%</w:t>
            </w:r>
          </w:p>
        </w:tc>
        <w:tc>
          <w:tcPr>
            <w:tcW w:w="1239"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79.75%</w:t>
            </w:r>
          </w:p>
        </w:tc>
        <w:tc>
          <w:tcPr>
            <w:tcW w:w="1333" w:type="dxa"/>
            <w:tcBorders>
              <w:top w:val="single" w:sz="12"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85.48%</w:t>
            </w:r>
          </w:p>
        </w:tc>
        <w:tc>
          <w:tcPr>
            <w:tcW w:w="1239" w:type="dxa"/>
            <w:tcBorders>
              <w:top w:val="single" w:sz="12"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80.31%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2: Never include any interactions</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£793</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£1,136</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£392</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£75</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£1,772</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76.60%</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67.72%</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86.14%</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90.88%</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55.72%</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3: Include interactions where p&lt;0.05</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£556</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£846</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£429</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£96</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£1,062</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80.61%</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74.61%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84.08%</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89.36%</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70.00%</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4: Include interactions where p&lt;0.10</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£515</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£759</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£468</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£121</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£893</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81.32%</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77.11%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82.33%</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88.27%</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74.51%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5: Include interactions where p&lt;0.25</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£491</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£661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£523</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£154</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£747</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81.58%</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79.50%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80.42%</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86.03%</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78.90%</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6:Include interactions decreasing AIC</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£529</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£454</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£102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£960</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81.11%</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75.89%</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83.00%</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88.91%</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72.77%</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7: Include interactions decreasing BIC</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£646</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£1,014</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£405</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£1,347</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78.32%</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70.50%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85.64%</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90.27%</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61.46%</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8: Include qualitative interactions in cost or benefits</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£503</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£660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£523</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£154</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£779</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81.71%</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79.50%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82.89%</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87.52%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75.72%</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9: Include interactions for cost or benefits if &gt;simple effect</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£474</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£633</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£517</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£708</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83.31%</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81.06%</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83.22%</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87.91%</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79.51%</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10: Include interactions for cost or benefits if p&lt;0.05 or &gt;simple effect</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£475</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£632</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£707</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83.14%</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81.22%</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82.75%</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87.82%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79.54%</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 xml:space="preserve">11: Include qualitative interactions for cost, benefits or NMB </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£480</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£617</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£542</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£160</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£694</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81.21%</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80.00%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80.03%</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84.48%</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79.54%</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12: Include interactions for cost, benefit or NMB if &gt;simple effect</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£475</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£606</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£540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£159</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£681</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81.55%</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80.33%</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80.08%</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84.67%</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80.26%</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13: Include interactions ≥0.25 or ≥£250</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b/>
                <w:bCs/>
                <w:sz w:val="20"/>
                <w:szCs w:val="20"/>
              </w:rPr>
            </w:pPr>
            <w:r w:rsidRPr="00A9680A">
              <w:rPr>
                <w:rFonts w:ascii="Arial" w:hAnsi="Arial" w:cs="Arial"/>
                <w:b/>
                <w:bCs/>
                <w:sz w:val="20"/>
                <w:szCs w:val="20"/>
              </w:rPr>
              <w:t>£472</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£600</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£529</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£137</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£703</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81.22%</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78.78%</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83.50%</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89.42%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72.18%</w:t>
            </w:r>
          </w:p>
        </w:tc>
      </w:tr>
      <w:tr w:rsidR="0071252D" w:rsidRPr="00A9680A" w:rsidTr="00A12CBE">
        <w:trPr>
          <w:trHeight w:val="20"/>
        </w:trPr>
        <w:tc>
          <w:tcPr>
            <w:tcW w:w="3686" w:type="dxa"/>
            <w:tcBorders>
              <w:top w:val="single" w:sz="4" w:space="0" w:color="auto"/>
              <w:left w:val="single" w:sz="12" w:space="0" w:color="auto"/>
              <w:bottom w:val="single" w:sz="4"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14: Include interactions ≥0.5 or ≥£500</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£476</w:t>
            </w:r>
          </w:p>
        </w:tc>
        <w:tc>
          <w:tcPr>
            <w:tcW w:w="1022"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£638</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£531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£132</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£718</w:t>
            </w:r>
          </w:p>
        </w:tc>
        <w:tc>
          <w:tcPr>
            <w:tcW w:w="1028" w:type="dxa"/>
            <w:tcBorders>
              <w:top w:val="single" w:sz="4" w:space="0" w:color="auto"/>
              <w:left w:val="single" w:sz="12"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82.33%</w:t>
            </w:r>
          </w:p>
        </w:tc>
        <w:tc>
          <w:tcPr>
            <w:tcW w:w="9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79.11%</w:t>
            </w:r>
          </w:p>
        </w:tc>
        <w:tc>
          <w:tcPr>
            <w:tcW w:w="1239"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83.69%</w:t>
            </w:r>
          </w:p>
        </w:tc>
        <w:tc>
          <w:tcPr>
            <w:tcW w:w="1333" w:type="dxa"/>
            <w:tcBorders>
              <w:top w:val="single" w:sz="4" w:space="0" w:color="auto"/>
              <w:left w:val="single" w:sz="4" w:space="0" w:color="auto"/>
              <w:bottom w:val="single" w:sz="4"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89.85%</w:t>
            </w:r>
          </w:p>
        </w:tc>
        <w:tc>
          <w:tcPr>
            <w:tcW w:w="1239" w:type="dxa"/>
            <w:tcBorders>
              <w:top w:val="single" w:sz="4" w:space="0" w:color="auto"/>
              <w:left w:val="single" w:sz="4" w:space="0" w:color="auto"/>
              <w:bottom w:val="single" w:sz="4"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74.72%</w:t>
            </w:r>
          </w:p>
        </w:tc>
      </w:tr>
      <w:tr w:rsidR="0071252D" w:rsidRPr="002305A4" w:rsidTr="00A12CBE">
        <w:trPr>
          <w:trHeight w:val="20"/>
        </w:trPr>
        <w:tc>
          <w:tcPr>
            <w:tcW w:w="3686" w:type="dxa"/>
            <w:tcBorders>
              <w:top w:val="single" w:sz="4" w:space="0" w:color="auto"/>
              <w:left w:val="single" w:sz="12" w:space="0" w:color="auto"/>
              <w:bottom w:val="single" w:sz="12" w:space="0" w:color="auto"/>
              <w:right w:val="single" w:sz="12" w:space="0" w:color="auto"/>
            </w:tcBorders>
            <w:noWrap/>
            <w:vAlign w:val="center"/>
            <w:hideMark/>
          </w:tcPr>
          <w:p w:rsidR="0071252D" w:rsidRPr="00A9680A" w:rsidRDefault="0071252D" w:rsidP="00A12CBE">
            <w:pPr>
              <w:tabs>
                <w:tab w:val="left" w:pos="567"/>
                <w:tab w:val="left" w:pos="1134"/>
                <w:tab w:val="left" w:pos="1701"/>
                <w:tab w:val="left" w:pos="5670"/>
                <w:tab w:val="right" w:pos="9072"/>
              </w:tabs>
              <w:spacing w:after="0" w:line="240" w:lineRule="auto"/>
              <w:rPr>
                <w:rFonts w:ascii="Arial" w:eastAsia="Times New Roman" w:hAnsi="Arial" w:cs="Arial"/>
                <w:sz w:val="20"/>
                <w:szCs w:val="20"/>
              </w:rPr>
            </w:pPr>
            <w:r w:rsidRPr="00A9680A">
              <w:rPr>
                <w:rFonts w:ascii="Arial" w:eastAsia="Times New Roman" w:hAnsi="Arial" w:cs="Arial"/>
                <w:sz w:val="20"/>
                <w:szCs w:val="20"/>
              </w:rPr>
              <w:t>15: Include interactions ≥1 or ≥£1,000</w:t>
            </w:r>
          </w:p>
        </w:tc>
        <w:tc>
          <w:tcPr>
            <w:tcW w:w="1028" w:type="dxa"/>
            <w:tcBorders>
              <w:top w:val="single" w:sz="4"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£488</w:t>
            </w:r>
          </w:p>
        </w:tc>
        <w:tc>
          <w:tcPr>
            <w:tcW w:w="1022"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£646</w:t>
            </w:r>
          </w:p>
        </w:tc>
        <w:tc>
          <w:tcPr>
            <w:tcW w:w="1239"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£517</w:t>
            </w:r>
          </w:p>
        </w:tc>
        <w:tc>
          <w:tcPr>
            <w:tcW w:w="1239"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£135</w:t>
            </w:r>
          </w:p>
        </w:tc>
        <w:tc>
          <w:tcPr>
            <w:tcW w:w="1239" w:type="dxa"/>
            <w:tcBorders>
              <w:top w:val="single" w:sz="4"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£759</w:t>
            </w:r>
          </w:p>
        </w:tc>
        <w:tc>
          <w:tcPr>
            <w:tcW w:w="1028" w:type="dxa"/>
            <w:tcBorders>
              <w:top w:val="single" w:sz="4" w:space="0" w:color="auto"/>
              <w:left w:val="single" w:sz="12"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82.01%</w:t>
            </w:r>
          </w:p>
        </w:tc>
        <w:tc>
          <w:tcPr>
            <w:tcW w:w="939"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78.06%</w:t>
            </w:r>
          </w:p>
        </w:tc>
        <w:tc>
          <w:tcPr>
            <w:tcW w:w="1239"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84.14%</w:t>
            </w:r>
          </w:p>
        </w:tc>
        <w:tc>
          <w:tcPr>
            <w:tcW w:w="1333" w:type="dxa"/>
            <w:tcBorders>
              <w:top w:val="single" w:sz="4" w:space="0" w:color="auto"/>
              <w:left w:val="single" w:sz="4" w:space="0" w:color="auto"/>
              <w:bottom w:val="single" w:sz="12" w:space="0" w:color="auto"/>
              <w:right w:val="single" w:sz="4"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89.64%</w:t>
            </w:r>
          </w:p>
        </w:tc>
        <w:tc>
          <w:tcPr>
            <w:tcW w:w="1239" w:type="dxa"/>
            <w:tcBorders>
              <w:top w:val="single" w:sz="4" w:space="0" w:color="auto"/>
              <w:left w:val="single" w:sz="4" w:space="0" w:color="auto"/>
              <w:bottom w:val="single" w:sz="12" w:space="0" w:color="auto"/>
              <w:right w:val="single" w:sz="12" w:space="0" w:color="auto"/>
            </w:tcBorders>
            <w:vAlign w:val="center"/>
            <w:hideMark/>
          </w:tcPr>
          <w:p w:rsidR="0071252D" w:rsidRPr="00A9680A" w:rsidRDefault="0071252D" w:rsidP="00A12CBE">
            <w:pPr>
              <w:spacing w:after="0" w:line="240" w:lineRule="auto"/>
              <w:jc w:val="center"/>
              <w:rPr>
                <w:rFonts w:ascii="Arial" w:hAnsi="Arial" w:cs="Arial"/>
                <w:sz w:val="20"/>
                <w:szCs w:val="20"/>
              </w:rPr>
            </w:pPr>
            <w:r w:rsidRPr="00A9680A">
              <w:rPr>
                <w:rFonts w:ascii="Arial" w:hAnsi="Arial" w:cs="Arial"/>
                <w:sz w:val="20"/>
                <w:szCs w:val="20"/>
              </w:rPr>
              <w:t>73.59%</w:t>
            </w:r>
          </w:p>
        </w:tc>
      </w:tr>
    </w:tbl>
    <w:p w:rsidR="0071252D" w:rsidRDefault="0071252D">
      <w:pPr>
        <w:rPr>
          <w:b/>
        </w:rPr>
        <w:sectPr w:rsidR="0071252D" w:rsidSect="0071252D">
          <w:pgSz w:w="16838" w:h="11906" w:orient="landscape"/>
          <w:pgMar w:top="1440" w:right="1440" w:bottom="1440" w:left="1440" w:header="708" w:footer="708" w:gutter="0"/>
          <w:cols w:space="708"/>
          <w:docGrid w:linePitch="360"/>
        </w:sectPr>
      </w:pPr>
    </w:p>
    <w:p w:rsidR="00E325AE" w:rsidRPr="00231955" w:rsidRDefault="0071252D" w:rsidP="0071252D">
      <w:pPr>
        <w:spacing w:after="0" w:line="240" w:lineRule="auto"/>
        <w:rPr>
          <w:rFonts w:ascii="Arial" w:hAnsi="Arial" w:cs="Arial"/>
          <w:b/>
          <w:sz w:val="28"/>
        </w:rPr>
      </w:pPr>
      <w:r w:rsidRPr="00231955">
        <w:rPr>
          <w:rFonts w:ascii="Arial" w:hAnsi="Arial" w:cs="Arial"/>
          <w:b/>
          <w:sz w:val="28"/>
        </w:rPr>
        <w:lastRenderedPageBreak/>
        <w:t>References</w:t>
      </w:r>
    </w:p>
    <w:p w:rsidR="0071252D" w:rsidRPr="00231955" w:rsidRDefault="0071252D" w:rsidP="0071252D">
      <w:pPr>
        <w:spacing w:after="0" w:line="240" w:lineRule="auto"/>
        <w:rPr>
          <w:rFonts w:ascii="Arial" w:hAnsi="Arial" w:cs="Arial"/>
          <w:b/>
        </w:rPr>
      </w:pPr>
    </w:p>
    <w:p w:rsidR="00EA70D1" w:rsidRPr="00EA70D1" w:rsidRDefault="0071252D" w:rsidP="00EA70D1">
      <w:pPr>
        <w:pStyle w:val="EndNoteBibliography"/>
        <w:spacing w:after="0"/>
        <w:ind w:left="720" w:hanging="720"/>
        <w:rPr>
          <w:rFonts w:ascii="Arial" w:hAnsi="Arial"/>
        </w:rPr>
      </w:pPr>
      <w:r w:rsidRPr="00EA70D1">
        <w:rPr>
          <w:rFonts w:ascii="Arial" w:hAnsi="Arial"/>
          <w:b/>
        </w:rPr>
        <w:fldChar w:fldCharType="begin"/>
      </w:r>
      <w:r w:rsidRPr="00EA70D1">
        <w:rPr>
          <w:rFonts w:ascii="Arial" w:hAnsi="Arial"/>
          <w:b/>
        </w:rPr>
        <w:instrText xml:space="preserve"> ADDIN EN.REFLIST </w:instrText>
      </w:r>
      <w:r w:rsidRPr="00EA70D1">
        <w:rPr>
          <w:rFonts w:ascii="Arial" w:hAnsi="Arial"/>
          <w:b/>
        </w:rPr>
        <w:fldChar w:fldCharType="separate"/>
      </w:r>
      <w:r w:rsidR="00EA70D1" w:rsidRPr="00EA70D1">
        <w:rPr>
          <w:rFonts w:ascii="Arial" w:hAnsi="Arial"/>
        </w:rPr>
        <w:t>1.</w:t>
      </w:r>
      <w:r w:rsidR="00EA70D1" w:rsidRPr="00EA70D1">
        <w:rPr>
          <w:rFonts w:ascii="Arial" w:hAnsi="Arial"/>
        </w:rPr>
        <w:tab/>
        <w:t xml:space="preserve">Hung HM. Two-stage tests for studying monotherapy and combination therapy in two-by-two factorial trials. Stat Med 1993, 12(7):645-660.  </w:t>
      </w:r>
    </w:p>
    <w:p w:rsidR="00EA70D1" w:rsidRPr="00EA70D1" w:rsidRDefault="00EA70D1" w:rsidP="00EA70D1">
      <w:pPr>
        <w:pStyle w:val="EndNoteBibliography"/>
        <w:spacing w:after="0"/>
        <w:ind w:left="720" w:hanging="720"/>
        <w:rPr>
          <w:rFonts w:ascii="Arial" w:hAnsi="Arial"/>
        </w:rPr>
      </w:pPr>
      <w:r w:rsidRPr="00EA70D1">
        <w:rPr>
          <w:rFonts w:ascii="Arial" w:hAnsi="Arial"/>
        </w:rPr>
        <w:t>2.</w:t>
      </w:r>
      <w:r w:rsidRPr="00EA70D1">
        <w:rPr>
          <w:rFonts w:ascii="Arial" w:hAnsi="Arial"/>
        </w:rPr>
        <w:tab/>
        <w:t xml:space="preserve">Brittain E, Wittes J. Factorial designs in clinical trials: the effects of non-compliance and subadditivity. Stat Med 1989, 8(2):161-171.  </w:t>
      </w:r>
    </w:p>
    <w:p w:rsidR="00EA70D1" w:rsidRPr="00EA70D1" w:rsidRDefault="00EA70D1" w:rsidP="00EA70D1">
      <w:pPr>
        <w:pStyle w:val="EndNoteBibliography"/>
        <w:spacing w:after="0"/>
        <w:ind w:left="720" w:hanging="720"/>
        <w:rPr>
          <w:rFonts w:ascii="Arial" w:hAnsi="Arial"/>
        </w:rPr>
      </w:pPr>
      <w:r w:rsidRPr="00EA70D1">
        <w:rPr>
          <w:rFonts w:ascii="Arial" w:hAnsi="Arial"/>
        </w:rPr>
        <w:t>3.</w:t>
      </w:r>
      <w:r w:rsidRPr="00EA70D1">
        <w:rPr>
          <w:rFonts w:ascii="Arial" w:hAnsi="Arial"/>
        </w:rPr>
        <w:tab/>
        <w:t xml:space="preserve">Slud EV. Analysis of factorial survival experiments. Biometrics 1994, 50(1):25-38.  </w:t>
      </w:r>
    </w:p>
    <w:p w:rsidR="00EA70D1" w:rsidRPr="00EA70D1" w:rsidRDefault="00EA70D1" w:rsidP="00EA70D1">
      <w:pPr>
        <w:pStyle w:val="EndNoteBibliography"/>
        <w:spacing w:after="0"/>
        <w:ind w:left="720" w:hanging="720"/>
        <w:rPr>
          <w:rFonts w:ascii="Arial" w:hAnsi="Arial"/>
        </w:rPr>
      </w:pPr>
      <w:r w:rsidRPr="00EA70D1">
        <w:rPr>
          <w:rFonts w:ascii="Arial" w:hAnsi="Arial"/>
        </w:rPr>
        <w:t>4.</w:t>
      </w:r>
      <w:r w:rsidRPr="00EA70D1">
        <w:rPr>
          <w:rFonts w:ascii="Arial" w:hAnsi="Arial"/>
        </w:rPr>
        <w:tab/>
        <w:t xml:space="preserve">Simon R, Freedman LS. Bayesian design and analysis of two x two factorial clinical trials. Biometrics 1997, 53(2):456-464.  </w:t>
      </w:r>
    </w:p>
    <w:p w:rsidR="00EA70D1" w:rsidRPr="00EA70D1" w:rsidRDefault="00EA70D1" w:rsidP="00EA70D1">
      <w:pPr>
        <w:pStyle w:val="EndNoteBibliography"/>
        <w:ind w:left="720" w:hanging="720"/>
        <w:rPr>
          <w:rFonts w:ascii="Arial" w:hAnsi="Arial"/>
        </w:rPr>
      </w:pPr>
      <w:r w:rsidRPr="00EA70D1">
        <w:rPr>
          <w:rFonts w:ascii="Arial" w:hAnsi="Arial"/>
        </w:rPr>
        <w:t>5.</w:t>
      </w:r>
      <w:r w:rsidRPr="00EA70D1">
        <w:rPr>
          <w:rFonts w:ascii="Arial" w:hAnsi="Arial"/>
        </w:rPr>
        <w:tab/>
        <w:t xml:space="preserve">Ng T. The impact of a preliminary test for interaction in a 2 x 2 factorial trial. Proceedings of the Biopharmaceutical Section of the American Statistical Association, Alexandria, VA 1991:220-227.  </w:t>
      </w:r>
    </w:p>
    <w:p w:rsidR="0071252D" w:rsidRPr="0071252D" w:rsidRDefault="0071252D" w:rsidP="0071252D">
      <w:pPr>
        <w:spacing w:after="0" w:line="240" w:lineRule="auto"/>
        <w:rPr>
          <w:rFonts w:ascii="Arial" w:hAnsi="Arial" w:cs="Arial"/>
          <w:b/>
        </w:rPr>
      </w:pPr>
      <w:r w:rsidRPr="00EA70D1">
        <w:rPr>
          <w:rFonts w:ascii="Arial" w:hAnsi="Arial" w:cs="Arial"/>
          <w:b/>
        </w:rPr>
        <w:fldChar w:fldCharType="end"/>
      </w:r>
    </w:p>
    <w:sectPr w:rsidR="0071252D" w:rsidRPr="0071252D" w:rsidSect="0071252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2CBE" w:rsidRDefault="00A12CBE" w:rsidP="00231955">
      <w:pPr>
        <w:spacing w:after="0" w:line="240" w:lineRule="auto"/>
      </w:pPr>
      <w:r>
        <w:separator/>
      </w:r>
    </w:p>
  </w:endnote>
  <w:endnote w:type="continuationSeparator" w:id="0">
    <w:p w:rsidR="00A12CBE" w:rsidRDefault="00A12CBE" w:rsidP="00231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BE" w:rsidRDefault="00A12CBE" w:rsidP="00A12C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12CBE" w:rsidRDefault="00A12CBE" w:rsidP="0023195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2CBE" w:rsidRDefault="00A12CBE" w:rsidP="00A12CB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A70D1">
      <w:rPr>
        <w:rStyle w:val="PageNumber"/>
        <w:noProof/>
      </w:rPr>
      <w:t>1</w:t>
    </w:r>
    <w:r>
      <w:rPr>
        <w:rStyle w:val="PageNumber"/>
      </w:rPr>
      <w:fldChar w:fldCharType="end"/>
    </w:r>
  </w:p>
  <w:p w:rsidR="00A12CBE" w:rsidRDefault="00A12CBE" w:rsidP="00231955">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2CBE" w:rsidRDefault="00A12CBE" w:rsidP="00231955">
      <w:pPr>
        <w:spacing w:after="0" w:line="240" w:lineRule="auto"/>
      </w:pPr>
      <w:r>
        <w:separator/>
      </w:r>
    </w:p>
  </w:footnote>
  <w:footnote w:type="continuationSeparator" w:id="0">
    <w:p w:rsidR="00A12CBE" w:rsidRDefault="00A12CBE" w:rsidP="0023195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3CFFB9D8-B826-428C-B41F-9730D450A09A}"/>
    <w:docVar w:name="dgnword-eventsink" w:val="315491496"/>
    <w:docVar w:name="EN.Layout" w:val="&lt;ENLayout&gt;&lt;Style&gt;BMC Medical Res Metho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a5zrezk9ppaleazeapv0srvxz9wr0w90tr&quot;&gt;DPhil - factorial trials 10-6-11&lt;record-ids&gt;&lt;item&gt;17&lt;/item&gt;&lt;item&gt;26&lt;/item&gt;&lt;item&gt;98&lt;/item&gt;&lt;item&gt;100&lt;/item&gt;&lt;item&gt;107&lt;/item&gt;&lt;/record-ids&gt;&lt;/item&gt;&lt;/Libraries&gt;"/>
  </w:docVars>
  <w:rsids>
    <w:rsidRoot w:val="0071252D"/>
    <w:rsid w:val="00231955"/>
    <w:rsid w:val="0071252D"/>
    <w:rsid w:val="00A12CBE"/>
    <w:rsid w:val="00A55C77"/>
    <w:rsid w:val="00E325AE"/>
    <w:rsid w:val="00EA70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52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71252D"/>
    <w:rPr>
      <w:sz w:val="16"/>
      <w:szCs w:val="16"/>
    </w:rPr>
  </w:style>
  <w:style w:type="paragraph" w:styleId="CommentText">
    <w:name w:val="annotation text"/>
    <w:basedOn w:val="Normal"/>
    <w:link w:val="CommentTextChar"/>
    <w:uiPriority w:val="99"/>
    <w:unhideWhenUsed/>
    <w:rsid w:val="0071252D"/>
    <w:pPr>
      <w:spacing w:line="240" w:lineRule="auto"/>
    </w:pPr>
    <w:rPr>
      <w:sz w:val="20"/>
      <w:szCs w:val="20"/>
    </w:rPr>
  </w:style>
  <w:style w:type="character" w:customStyle="1" w:styleId="CommentTextChar">
    <w:name w:val="Comment Text Char"/>
    <w:basedOn w:val="DefaultParagraphFont"/>
    <w:link w:val="CommentText"/>
    <w:uiPriority w:val="99"/>
    <w:rsid w:val="0071252D"/>
    <w:rPr>
      <w:sz w:val="20"/>
      <w:szCs w:val="20"/>
    </w:rPr>
  </w:style>
  <w:style w:type="character" w:styleId="Hyperlink">
    <w:name w:val="Hyperlink"/>
    <w:basedOn w:val="DefaultParagraphFont"/>
    <w:uiPriority w:val="99"/>
    <w:unhideWhenUsed/>
    <w:rsid w:val="0071252D"/>
    <w:rPr>
      <w:color w:val="0000FF" w:themeColor="hyperlink"/>
      <w:u w:val="single"/>
    </w:rPr>
  </w:style>
  <w:style w:type="character" w:customStyle="1" w:styleId="EndNoteBibliographyChar">
    <w:name w:val="EndNote Bibliography Char"/>
    <w:basedOn w:val="DefaultParagraphFont"/>
    <w:link w:val="EndNoteBibliography"/>
    <w:semiHidden/>
    <w:locked/>
    <w:rsid w:val="0071252D"/>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71252D"/>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paragraph" w:styleId="BalloonText">
    <w:name w:val="Balloon Text"/>
    <w:basedOn w:val="Normal"/>
    <w:link w:val="BalloonTextChar"/>
    <w:uiPriority w:val="99"/>
    <w:semiHidden/>
    <w:unhideWhenUsed/>
    <w:rsid w:val="00712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52D"/>
    <w:rPr>
      <w:rFonts w:ascii="Tahoma" w:hAnsi="Tahoma" w:cs="Tahoma"/>
      <w:sz w:val="16"/>
      <w:szCs w:val="16"/>
    </w:rPr>
  </w:style>
  <w:style w:type="paragraph" w:customStyle="1" w:styleId="EndNoteBibliographyTitle">
    <w:name w:val="EndNote Bibliography Title"/>
    <w:basedOn w:val="Normal"/>
    <w:link w:val="EndNoteBibliographyTitleChar"/>
    <w:rsid w:val="0071252D"/>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1252D"/>
    <w:rPr>
      <w:rFonts w:ascii="Calibri" w:hAnsi="Calibri"/>
      <w:noProof/>
      <w:lang w:val="en-US"/>
    </w:rPr>
  </w:style>
  <w:style w:type="paragraph" w:styleId="Footer">
    <w:name w:val="footer"/>
    <w:basedOn w:val="Normal"/>
    <w:link w:val="FooterChar"/>
    <w:uiPriority w:val="99"/>
    <w:unhideWhenUsed/>
    <w:rsid w:val="00231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1955"/>
  </w:style>
  <w:style w:type="character" w:styleId="PageNumber">
    <w:name w:val="page number"/>
    <w:basedOn w:val="DefaultParagraphFont"/>
    <w:uiPriority w:val="99"/>
    <w:semiHidden/>
    <w:unhideWhenUsed/>
    <w:rsid w:val="002319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52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71252D"/>
    <w:rPr>
      <w:sz w:val="16"/>
      <w:szCs w:val="16"/>
    </w:rPr>
  </w:style>
  <w:style w:type="paragraph" w:styleId="CommentText">
    <w:name w:val="annotation text"/>
    <w:basedOn w:val="Normal"/>
    <w:link w:val="CommentTextChar"/>
    <w:uiPriority w:val="99"/>
    <w:unhideWhenUsed/>
    <w:rsid w:val="0071252D"/>
    <w:pPr>
      <w:spacing w:line="240" w:lineRule="auto"/>
    </w:pPr>
    <w:rPr>
      <w:sz w:val="20"/>
      <w:szCs w:val="20"/>
    </w:rPr>
  </w:style>
  <w:style w:type="character" w:customStyle="1" w:styleId="CommentTextChar">
    <w:name w:val="Comment Text Char"/>
    <w:basedOn w:val="DefaultParagraphFont"/>
    <w:link w:val="CommentText"/>
    <w:uiPriority w:val="99"/>
    <w:rsid w:val="0071252D"/>
    <w:rPr>
      <w:sz w:val="20"/>
      <w:szCs w:val="20"/>
    </w:rPr>
  </w:style>
  <w:style w:type="character" w:styleId="Hyperlink">
    <w:name w:val="Hyperlink"/>
    <w:basedOn w:val="DefaultParagraphFont"/>
    <w:uiPriority w:val="99"/>
    <w:unhideWhenUsed/>
    <w:rsid w:val="0071252D"/>
    <w:rPr>
      <w:color w:val="0000FF" w:themeColor="hyperlink"/>
      <w:u w:val="single"/>
    </w:rPr>
  </w:style>
  <w:style w:type="character" w:customStyle="1" w:styleId="EndNoteBibliographyChar">
    <w:name w:val="EndNote Bibliography Char"/>
    <w:basedOn w:val="DefaultParagraphFont"/>
    <w:link w:val="EndNoteBibliography"/>
    <w:semiHidden/>
    <w:locked/>
    <w:rsid w:val="0071252D"/>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71252D"/>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paragraph" w:styleId="BalloonText">
    <w:name w:val="Balloon Text"/>
    <w:basedOn w:val="Normal"/>
    <w:link w:val="BalloonTextChar"/>
    <w:uiPriority w:val="99"/>
    <w:semiHidden/>
    <w:unhideWhenUsed/>
    <w:rsid w:val="00712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52D"/>
    <w:rPr>
      <w:rFonts w:ascii="Tahoma" w:hAnsi="Tahoma" w:cs="Tahoma"/>
      <w:sz w:val="16"/>
      <w:szCs w:val="16"/>
    </w:rPr>
  </w:style>
  <w:style w:type="paragraph" w:customStyle="1" w:styleId="EndNoteBibliographyTitle">
    <w:name w:val="EndNote Bibliography Title"/>
    <w:basedOn w:val="Normal"/>
    <w:link w:val="EndNoteBibliographyTitleChar"/>
    <w:rsid w:val="0071252D"/>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1252D"/>
    <w:rPr>
      <w:rFonts w:ascii="Calibri" w:hAnsi="Calibri"/>
      <w:noProof/>
      <w:lang w:val="en-US"/>
    </w:rPr>
  </w:style>
  <w:style w:type="paragraph" w:styleId="Footer">
    <w:name w:val="footer"/>
    <w:basedOn w:val="Normal"/>
    <w:link w:val="FooterChar"/>
    <w:uiPriority w:val="99"/>
    <w:unhideWhenUsed/>
    <w:rsid w:val="00231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1955"/>
  </w:style>
  <w:style w:type="character" w:styleId="PageNumber">
    <w:name w:val="page number"/>
    <w:basedOn w:val="DefaultParagraphFont"/>
    <w:uiPriority w:val="99"/>
    <w:semiHidden/>
    <w:unhideWhenUsed/>
    <w:rsid w:val="002319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3.wmf"/><Relationship Id="rId18" Type="http://schemas.openxmlformats.org/officeDocument/2006/relationships/oleObject" Target="embeddings/oleObject6.bin"/><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oleObject" Target="embeddings/oleObject2.bin"/><Relationship Id="rId17" Type="http://schemas.openxmlformats.org/officeDocument/2006/relationships/oleObject" Target="embeddings/oleObject5.bin"/><Relationship Id="rId2" Type="http://schemas.microsoft.com/office/2007/relationships/stylesWithEffects" Target="stylesWithEffects.xml"/><Relationship Id="rId16" Type="http://schemas.openxmlformats.org/officeDocument/2006/relationships/image" Target="media/image4.wmf"/><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5" Type="http://schemas.openxmlformats.org/officeDocument/2006/relationships/oleObject" Target="embeddings/oleObject4.bin"/><Relationship Id="rId10" Type="http://schemas.openxmlformats.org/officeDocument/2006/relationships/oleObject" Target="embeddings/oleObject1.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8</Pages>
  <Words>3021</Words>
  <Characters>17226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20207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Dakin</dc:creator>
  <cp:lastModifiedBy>Helen Dakin</cp:lastModifiedBy>
  <cp:revision>4</cp:revision>
  <dcterms:created xsi:type="dcterms:W3CDTF">2019-03-19T15:49:00Z</dcterms:created>
  <dcterms:modified xsi:type="dcterms:W3CDTF">2019-08-19T19:43:00Z</dcterms:modified>
</cp:coreProperties>
</file>